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165695">
      <w:pPr>
        <w:pStyle w:val="aa"/>
      </w:pPr>
      <w:r>
        <w:t>Бюджет для граждан  по отчету об исполнении бюджета Ельниковского муниципального района  за 2015 год</w:t>
      </w:r>
    </w:p>
    <w:p w:rsidR="00165695" w:rsidRPr="00165695" w:rsidRDefault="00165695" w:rsidP="00165695"/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165695">
      <w:r w:rsidRPr="00165695"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E659EC">
        <w:object w:dxaOrig="7576" w:dyaOrig="7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.75pt;height:362.25pt" o:ole="">
            <v:imagedata r:id="rId8" o:title=""/>
          </v:shape>
          <o:OLEObject Type="Embed" ProgID="Excel.Sheet.8" ShapeID="_x0000_i1025" DrawAspect="Content" ObjectID="_1520411332" r:id="rId9"/>
        </w:objec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Анализируя итоги работы по исполнению бюджета за 2015 год следует отметить, что районный бюджет по доходам выполнен на    94,8    %  (при годовом плане поступления 184      млн.939 тыс..руб, фактически поступило  175  млн. 329  тыс. руб.). 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Из них в виде налоговых и неналоговых доходов  25 млн.875 тыс.  руб.: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субсидии–39 млн.929 тыс.600руб.,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субвенции-105 млн.126 тыс.руб.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дотации на выравнивание- 2 млн.352 тыс. руб.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Таким образом, мы видим, что в доходной части бюджета удельный вес  собственных доходов составляет 14 %, субсидий – 21,6%,  субвенций -56,9 %.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Расходная часть  бюджета Ельниковского муниципального района за 2015 год выполнена на  94,3  %.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счет поступивших доходов в бюджет Ельниковского муниципального района практически полностью профинансированы расходы по образованию, управлению, социальной политики. 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Всего расходы на образование составили в сумме  123  млн. 717  тыс. руб. данные средства были направлены на содержание следующих учреждений, образования: Дома  детского творчества, Детской- юношеской спортивной школы, Детской музыкальной школы, методического центра, был организован летний отдых детей и подростков, а так же питание детей из мало обеспеченных семей в общеобразовательных школах, на содержание 8 школ, 4 детских садов.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Расходы по учреждениям культуры составили в сумме  7  млн. 095  тыс.руб. или выполнен на 99,8 %.За счет данных средств производилось финансирование Районного дома культуры, библиотеки и музея.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Бюджет 2015 года был социально направленный, доля  социальных статей в общей структуре расходов бюджета составляет- 70  %.</w:t>
      </w:r>
    </w:p>
    <w:p w:rsidR="00797244" w:rsidRDefault="00412C6D" w:rsidP="00785384">
      <w:r>
        <w:rPr>
          <w:noProof/>
        </w:rPr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2B1FE1">
        <w:rPr>
          <w:noProof/>
        </w:rPr>
        <w:drawing>
          <wp:inline distT="0" distB="0" distL="0" distR="0">
            <wp:extent cx="5486400" cy="4076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797244" w:rsidSect="00D605D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0F2" w:rsidRDefault="008F20F2" w:rsidP="00BA55B7">
      <w:pPr>
        <w:spacing w:after="0" w:line="240" w:lineRule="auto"/>
      </w:pPr>
      <w:r>
        <w:separator/>
      </w:r>
    </w:p>
  </w:endnote>
  <w:endnote w:type="continuationSeparator" w:id="1">
    <w:p w:rsidR="008F20F2" w:rsidRDefault="008F20F2" w:rsidP="00BA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0F2" w:rsidRDefault="008F20F2" w:rsidP="00BA55B7">
      <w:pPr>
        <w:spacing w:after="0" w:line="240" w:lineRule="auto"/>
      </w:pPr>
      <w:r>
        <w:separator/>
      </w:r>
    </w:p>
  </w:footnote>
  <w:footnote w:type="continuationSeparator" w:id="1">
    <w:p w:rsidR="008F20F2" w:rsidRDefault="008F20F2" w:rsidP="00BA5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FE1"/>
    <w:rsid w:val="00165695"/>
    <w:rsid w:val="002B1FE1"/>
    <w:rsid w:val="00412C6D"/>
    <w:rsid w:val="00431066"/>
    <w:rsid w:val="00785384"/>
    <w:rsid w:val="00790B66"/>
    <w:rsid w:val="00797244"/>
    <w:rsid w:val="00801CD0"/>
    <w:rsid w:val="008F20F2"/>
    <w:rsid w:val="009341D5"/>
    <w:rsid w:val="0093435D"/>
    <w:rsid w:val="00A256F7"/>
    <w:rsid w:val="00AD385E"/>
    <w:rsid w:val="00BA55B7"/>
    <w:rsid w:val="00CC5EB1"/>
    <w:rsid w:val="00D605D1"/>
    <w:rsid w:val="00EA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55B7"/>
  </w:style>
  <w:style w:type="paragraph" w:styleId="a7">
    <w:name w:val="footer"/>
    <w:basedOn w:val="a"/>
    <w:link w:val="a8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55B7"/>
  </w:style>
  <w:style w:type="paragraph" w:styleId="a9">
    <w:name w:val="No Spacing"/>
    <w:uiPriority w:val="1"/>
    <w:qFormat/>
    <w:rsid w:val="007853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1656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1656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3.xml"/><Relationship Id="rId5" Type="http://schemas.openxmlformats.org/officeDocument/2006/relationships/footnotes" Target="footnotes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oleObject" Target="embeddings/_____Microsoft_Office_Excel_97-20031.xls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собственные доходы 2015 г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Собственные доходы</c:v>
                </c:pt>
              </c:strCache>
            </c:strRef>
          </c:tx>
          <c:dLbls>
            <c:showCatName val="1"/>
            <c:showPercent val="1"/>
          </c:dLbls>
          <c:cat>
            <c:strRef>
              <c:f>Лист1!$A$2:$A$5</c:f>
              <c:strCache>
                <c:ptCount val="4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прочие налоги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60</c:v>
                </c:pt>
                <c:pt idx="1">
                  <c:v>15.5</c:v>
                </c:pt>
                <c:pt idx="2">
                  <c:v>14.2</c:v>
                </c:pt>
                <c:pt idx="3">
                  <c:v>10.200000000000001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расходов бюджета Ельниковского муниципального района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184480.7</c:v>
                </c:pt>
                <c:pt idx="1">
                  <c:v>123717.5</c:v>
                </c:pt>
                <c:pt idx="2">
                  <c:v>7075.7</c:v>
                </c:pt>
                <c:pt idx="3">
                  <c:v>16118.3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187701.9</c:v>
                </c:pt>
                <c:pt idx="1">
                  <c:v>126648.9</c:v>
                </c:pt>
                <c:pt idx="2">
                  <c:v>7424.7</c:v>
                </c:pt>
                <c:pt idx="3">
                  <c:v>13661.4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169213</c:v>
                </c:pt>
                <c:pt idx="1">
                  <c:v>109933</c:v>
                </c:pt>
                <c:pt idx="2">
                  <c:v>6003</c:v>
                </c:pt>
                <c:pt idx="3">
                  <c:v>9400</c:v>
                </c:pt>
              </c:numCache>
            </c:numRef>
          </c:val>
        </c:ser>
        <c:marker val="1"/>
        <c:axId val="80107008"/>
        <c:axId val="80109952"/>
      </c:lineChart>
      <c:catAx>
        <c:axId val="80107008"/>
        <c:scaling>
          <c:orientation val="minMax"/>
        </c:scaling>
        <c:axPos val="b"/>
        <c:majorTickMark val="none"/>
        <c:tickLblPos val="nextTo"/>
        <c:crossAx val="80109952"/>
        <c:crosses val="autoZero"/>
        <c:auto val="1"/>
        <c:lblAlgn val="ctr"/>
        <c:lblOffset val="100"/>
      </c:catAx>
      <c:valAx>
        <c:axId val="80109952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8010700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Удельный вес расходов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</c:v>
                </c:pt>
                <c:pt idx="1">
                  <c:v>67.099999999999994</c:v>
                </c:pt>
                <c:pt idx="2">
                  <c:v>3.9</c:v>
                </c:pt>
                <c:pt idx="3">
                  <c:v>8.7000000000000011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Всего  расходов 184480,7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25762.7</c:v>
                </c:pt>
                <c:pt idx="1">
                  <c:v>123511.1</c:v>
                </c:pt>
                <c:pt idx="2">
                  <c:v>7095.7</c:v>
                </c:pt>
                <c:pt idx="3">
                  <c:v>16118.3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43ABE-A2A0-474A-8DFD-D1AF92B24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2016-03-24T09:07:00Z</dcterms:created>
  <dcterms:modified xsi:type="dcterms:W3CDTF">2016-03-25T08:42:00Z</dcterms:modified>
</cp:coreProperties>
</file>