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drawing>
          <wp:inline distT="0" distB="0" distL="0" distR="0">
            <wp:extent cx="3971925" cy="59055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link="rId2"/>
                    <a:stretch>
                      <a:fillRect/>
                    </a:stretch>
                  </pic:blipFill>
                  <pic:spPr bwMode="auto">
                    <a:xfrm>
                      <a:off x="0" y="0"/>
                      <a:ext cx="3971925" cy="590550"/>
                    </a:xfrm>
                    <a:prstGeom prst="rect">
                      <a:avLst/>
                    </a:prstGeom>
                    <a:ln w="9525">
                      <a:solidFill>
                        <a:srgbClr val="000080"/>
                      </a:solidFill>
                    </a:ln>
                  </pic:spPr>
                </pic:pic>
              </a:graphicData>
            </a:graphic>
          </wp:inline>
        </w:drawing>
      </w:r>
      <w:hyperlink r:id="rId3">
        <w:r>
          <w:rPr>
            <w:rStyle w:val="Style12"/>
          </w:rPr>
          <w:t xml:space="preserve"> </w:t>
        </w:r>
      </w:hyperlink>
    </w:p>
    <w:p>
      <w:pPr>
        <w:pStyle w:val="Normal"/>
        <w:rPr/>
      </w:pPr>
      <w:hyperlink r:id="rId4">
        <w:r>
          <w:rPr>
            <w:rStyle w:val="Style12"/>
          </w:rPr>
          <w:t xml:space="preserve">En </w:t>
        </w:r>
      </w:hyperlink>
      <w:r>
        <w:rPr/>
        <w:t xml:space="preserve">Версия для слабовидящих </w:t>
      </w:r>
    </w:p>
    <w:p>
      <w:pPr>
        <w:pStyle w:val="Normal"/>
        <w:rPr/>
      </w:pPr>
      <w:hyperlink r:id="rId5">
        <w:r>
          <w:rPr>
            <w:rStyle w:val="Style12"/>
          </w:rPr>
          <w:t xml:space="preserve">Москва </w:t>
        </w:r>
      </w:hyperlink>
    </w:p>
    <w:p>
      <w:pPr>
        <w:pStyle w:val="Style15"/>
        <w:numPr>
          <w:ilvl w:val="0"/>
          <w:numId w:val="1"/>
        </w:numPr>
        <w:tabs>
          <w:tab w:val="left" w:pos="0" w:leader="none"/>
        </w:tabs>
        <w:ind w:left="707" w:hanging="283"/>
        <w:rPr/>
      </w:pPr>
      <w:r>
        <w:rPr/>
      </w:r>
    </w:p>
    <w:p>
      <w:pPr>
        <w:pStyle w:val="Style15"/>
        <w:numPr>
          <w:ilvl w:val="0"/>
          <w:numId w:val="2"/>
        </w:numPr>
        <w:tabs>
          <w:tab w:val="left" w:pos="0" w:leader="none"/>
        </w:tabs>
        <w:ind w:left="707" w:hanging="283"/>
        <w:rPr/>
      </w:pPr>
      <w:r>
        <w:rPr/>
        <w:t>О Фонде</w:t>
      </w:r>
    </w:p>
    <w:p>
      <w:pPr>
        <w:pStyle w:val="Style15"/>
        <w:numPr>
          <w:ilvl w:val="0"/>
          <w:numId w:val="2"/>
        </w:numPr>
        <w:tabs>
          <w:tab w:val="left" w:pos="0" w:leader="none"/>
        </w:tabs>
        <w:ind w:left="707" w:hanging="283"/>
        <w:rPr/>
      </w:pPr>
      <w:r>
        <w:rPr/>
        <w:t>Гражданам</w:t>
      </w:r>
    </w:p>
    <w:p>
      <w:pPr>
        <w:pStyle w:val="Style15"/>
        <w:numPr>
          <w:ilvl w:val="0"/>
          <w:numId w:val="2"/>
        </w:numPr>
        <w:tabs>
          <w:tab w:val="left" w:pos="0" w:leader="none"/>
        </w:tabs>
        <w:ind w:left="707" w:hanging="283"/>
        <w:rPr/>
      </w:pPr>
      <w:r>
        <w:rPr/>
        <w:t>Страхователям</w:t>
      </w:r>
    </w:p>
    <w:p>
      <w:pPr>
        <w:pStyle w:val="Style15"/>
        <w:numPr>
          <w:ilvl w:val="0"/>
          <w:numId w:val="2"/>
        </w:numPr>
        <w:tabs>
          <w:tab w:val="left" w:pos="0" w:leader="none"/>
        </w:tabs>
        <w:ind w:left="707" w:hanging="283"/>
        <w:rPr/>
      </w:pPr>
      <w:r>
        <w:rPr/>
        <w:t>Медицинским организациям</w:t>
      </w:r>
    </w:p>
    <w:p>
      <w:pPr>
        <w:pStyle w:val="Style15"/>
        <w:numPr>
          <w:ilvl w:val="0"/>
          <w:numId w:val="2"/>
        </w:numPr>
        <w:tabs>
          <w:tab w:val="left" w:pos="0" w:leader="none"/>
        </w:tabs>
        <w:ind w:left="707" w:hanging="283"/>
        <w:rPr/>
      </w:pPr>
      <w:r>
        <w:rPr/>
        <w:t>Пресс-центр</w:t>
      </w:r>
    </w:p>
    <w:p>
      <w:pPr>
        <w:pStyle w:val="Style15"/>
        <w:numPr>
          <w:ilvl w:val="0"/>
          <w:numId w:val="2"/>
        </w:numPr>
        <w:tabs>
          <w:tab w:val="left" w:pos="0" w:leader="none"/>
        </w:tabs>
        <w:ind w:left="707" w:hanging="283"/>
        <w:rPr/>
      </w:pPr>
      <w:r>
        <w:rPr/>
        <w:t>Контакты</w:t>
      </w:r>
    </w:p>
    <w:p>
      <w:pPr>
        <w:pStyle w:val="Style15"/>
        <w:rPr/>
      </w:pPr>
      <w:r>
        <w:rPr/>
      </w:r>
      <w:r>
        <w:rPr/>
        <w:t xml:space="preserve"> </w:t>
      </w:r>
    </w:p>
    <w:p>
      <w:pPr>
        <w:sectPr>
          <w:type w:val="nextPage"/>
          <w:pgSz w:w="11906" w:h="16838"/>
          <w:pgMar w:left="1134" w:right="1134" w:header="0" w:top="1134" w:footer="0" w:bottom="1134" w:gutter="0"/>
          <w:pgNumType w:fmt="decimal"/>
          <w:formProt w:val="false"/>
          <w:textDirection w:val="lrTb"/>
        </w:sectPr>
      </w:pPr>
    </w:p>
    <w:p>
      <w:pPr>
        <w:pStyle w:val="Style15"/>
        <w:rPr/>
      </w:pPr>
      <w:r>
        <w:rPr/>
      </w:r>
    </w:p>
    <w:p>
      <w:pPr>
        <w:sectPr>
          <w:type w:val="continuous"/>
          <w:pgSz w:w="11906" w:h="16838"/>
          <w:pgMar w:left="1134" w:right="1134" w:header="0" w:top="1134" w:footer="0" w:bottom="1134" w:gutter="0"/>
          <w:formProt w:val="false"/>
          <w:textDirection w:val="lrTb"/>
        </w:sectPr>
      </w:pPr>
    </w:p>
    <w:p>
      <w:pPr>
        <w:pStyle w:val="Style15"/>
        <w:rPr/>
      </w:pPr>
      <w:r>
        <w:rPr/>
        <w:t>Настройка режима отображения</w:t>
      </w:r>
    </w:p>
    <w:p>
      <w:pPr>
        <w:pStyle w:val="Style15"/>
        <w:rPr/>
      </w:pPr>
      <w:r>
        <w:rPr/>
        <w:t>Размер шрифта:</w:t>
      </w:r>
    </w:p>
    <w:p>
      <w:pPr>
        <w:pStyle w:val="Style15"/>
        <w:numPr>
          <w:ilvl w:val="0"/>
          <w:numId w:val="3"/>
        </w:numPr>
        <w:tabs>
          <w:tab w:val="left" w:pos="0" w:leader="none"/>
        </w:tabs>
        <w:ind w:left="707" w:hanging="283"/>
        <w:rPr/>
      </w:pPr>
      <w:r>
        <w:rPr/>
      </w:r>
    </w:p>
    <w:p>
      <w:pPr>
        <w:pStyle w:val="Style15"/>
        <w:rPr/>
      </w:pPr>
      <w:r>
        <w:rPr/>
        <w:t>Шрифт:</w:t>
      </w:r>
    </w:p>
    <w:p>
      <w:pPr>
        <w:pStyle w:val="Style15"/>
        <w:numPr>
          <w:ilvl w:val="0"/>
          <w:numId w:val="4"/>
        </w:numPr>
        <w:tabs>
          <w:tab w:val="left" w:pos="0" w:leader="none"/>
        </w:tabs>
        <w:ind w:left="707" w:hanging="283"/>
        <w:rPr/>
      </w:pPr>
      <w:r>
        <w:rPr/>
      </w:r>
    </w:p>
    <w:p>
      <w:pPr>
        <w:pStyle w:val="Style15"/>
        <w:rPr/>
      </w:pPr>
      <w:r>
        <w:rPr/>
        <w:t>Интервал между буквами:</w:t>
      </w:r>
    </w:p>
    <w:p>
      <w:pPr>
        <w:pStyle w:val="Style15"/>
        <w:numPr>
          <w:ilvl w:val="0"/>
          <w:numId w:val="5"/>
        </w:numPr>
        <w:tabs>
          <w:tab w:val="left" w:pos="0" w:leader="none"/>
        </w:tabs>
        <w:ind w:left="707" w:hanging="283"/>
        <w:rPr/>
      </w:pPr>
      <w:r>
        <w:rPr/>
      </w:r>
    </w:p>
    <w:p>
      <w:pPr>
        <w:pStyle w:val="Style15"/>
        <w:rPr/>
      </w:pPr>
      <w:r>
        <w:rPr/>
        <w:t>Цвет сайта:</w:t>
      </w:r>
    </w:p>
    <w:p>
      <w:pPr>
        <w:pStyle w:val="Style15"/>
        <w:numPr>
          <w:ilvl w:val="0"/>
          <w:numId w:val="6"/>
        </w:numPr>
        <w:tabs>
          <w:tab w:val="left" w:pos="0" w:leader="none"/>
        </w:tabs>
        <w:ind w:left="707" w:hanging="283"/>
        <w:rPr/>
      </w:pPr>
      <w:r>
        <w:rPr/>
      </w:r>
    </w:p>
    <w:p>
      <w:pPr>
        <w:pStyle w:val="Style15"/>
        <w:rPr/>
      </w:pPr>
      <w:r>
        <w:rPr/>
        <w:t>Изображения:</w:t>
      </w:r>
    </w:p>
    <w:p>
      <w:pPr>
        <w:pStyle w:val="Style15"/>
        <w:numPr>
          <w:ilvl w:val="0"/>
          <w:numId w:val="7"/>
        </w:numPr>
        <w:tabs>
          <w:tab w:val="left" w:pos="0" w:leader="none"/>
        </w:tabs>
        <w:ind w:left="707" w:hanging="283"/>
        <w:rPr/>
      </w:pPr>
      <w:r>
        <w:rPr/>
      </w:r>
    </w:p>
    <w:p>
      <w:pPr>
        <w:pStyle w:val="Style15"/>
        <w:rPr/>
      </w:pPr>
      <w:r>
        <w:rPr/>
        <w:t>Звуковой ассистент:</w:t>
      </w:r>
    </w:p>
    <w:p>
      <w:pPr>
        <w:pStyle w:val="Style15"/>
        <w:numPr>
          <w:ilvl w:val="0"/>
          <w:numId w:val="8"/>
        </w:numPr>
        <w:tabs>
          <w:tab w:val="left" w:pos="0" w:leader="none"/>
        </w:tabs>
        <w:ind w:left="707" w:hanging="283"/>
        <w:rPr/>
      </w:pPr>
      <w:r>
        <w:rPr/>
      </w:r>
    </w:p>
    <w:p>
      <w:pPr>
        <w:pStyle w:val="Style15"/>
        <w:numPr>
          <w:ilvl w:val="0"/>
          <w:numId w:val="9"/>
        </w:numPr>
        <w:tabs>
          <w:tab w:val="left" w:pos="0" w:leader="none"/>
        </w:tabs>
        <w:spacing w:before="0" w:after="0"/>
        <w:ind w:left="707" w:hanging="283"/>
        <w:rPr/>
      </w:pPr>
      <w:hyperlink r:id="rId6">
        <w:r>
          <w:rPr>
            <w:rStyle w:val="Style12"/>
          </w:rPr>
          <w:t>Главная</w:t>
        </w:r>
      </w:hyperlink>
      <w:r>
        <w:rPr/>
        <w:t xml:space="preserve"> </w:t>
      </w:r>
    </w:p>
    <w:p>
      <w:pPr>
        <w:pStyle w:val="Style15"/>
        <w:numPr>
          <w:ilvl w:val="0"/>
          <w:numId w:val="9"/>
        </w:numPr>
        <w:tabs>
          <w:tab w:val="left" w:pos="0" w:leader="none"/>
        </w:tabs>
        <w:spacing w:before="0" w:after="0"/>
        <w:ind w:left="707" w:hanging="283"/>
        <w:rPr/>
      </w:pPr>
      <w:hyperlink r:id="rId7">
        <w:r>
          <w:rPr>
            <w:rStyle w:val="Style12"/>
          </w:rPr>
          <w:t>Пресс-центр</w:t>
        </w:r>
      </w:hyperlink>
      <w:r>
        <w:rPr/>
        <w:t xml:space="preserve"> </w:t>
      </w:r>
    </w:p>
    <w:p>
      <w:pPr>
        <w:pStyle w:val="Style15"/>
        <w:numPr>
          <w:ilvl w:val="0"/>
          <w:numId w:val="9"/>
        </w:numPr>
        <w:tabs>
          <w:tab w:val="left" w:pos="0" w:leader="none"/>
        </w:tabs>
        <w:spacing w:before="0" w:after="0"/>
        <w:ind w:left="707" w:hanging="283"/>
        <w:rPr/>
      </w:pPr>
      <w:hyperlink r:id="rId8">
        <w:r>
          <w:rPr>
            <w:rStyle w:val="Style12"/>
          </w:rPr>
          <w:t>Новости</w:t>
        </w:r>
      </w:hyperlink>
      <w:r>
        <w:rPr/>
        <w:t xml:space="preserve"> </w:t>
      </w:r>
    </w:p>
    <w:p>
      <w:pPr>
        <w:pStyle w:val="Style15"/>
        <w:numPr>
          <w:ilvl w:val="0"/>
          <w:numId w:val="9"/>
        </w:numPr>
        <w:tabs>
          <w:tab w:val="left" w:pos="0" w:leader="none"/>
        </w:tabs>
        <w:ind w:left="707" w:hanging="283"/>
        <w:rPr/>
      </w:pPr>
      <w:r>
        <w:rPr/>
        <w:t xml:space="preserve">Более 343 тысяч семей улучшили жилищные условия за счет материнского капитала </w:t>
      </w:r>
    </w:p>
    <w:p>
      <w:pPr>
        <w:pStyle w:val="Style15"/>
        <w:rPr/>
      </w:pPr>
      <w:r>
        <w:rPr/>
        <w:drawing>
          <wp:inline distT="0" distB="0" distL="0" distR="0">
            <wp:extent cx="571500" cy="571500"/>
            <wp:effectExtent l="0" t="0" r="0" b="0"/>
            <wp:docPr id="2" name="Изображение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2" descr=""/>
                    <pic:cNvPicPr>
                      <a:picLocks noChangeAspect="1" noChangeArrowheads="1"/>
                    </pic:cNvPicPr>
                  </pic:nvPicPr>
                  <pic:blipFill>
                    <a:blip r:link="rId9"/>
                    <a:stretch>
                      <a:fillRect/>
                    </a:stretch>
                  </pic:blipFill>
                  <pic:spPr bwMode="auto">
                    <a:xfrm>
                      <a:off x="0" y="0"/>
                      <a:ext cx="571500" cy="571500"/>
                    </a:xfrm>
                    <a:prstGeom prst="rect">
                      <a:avLst/>
                    </a:prstGeom>
                  </pic:spPr>
                </pic:pic>
              </a:graphicData>
            </a:graphic>
          </wp:inline>
        </w:drawing>
      </w:r>
      <w:r>
        <w:rPr/>
        <w:t xml:space="preserve"> </w:t>
      </w:r>
    </w:p>
    <w:p>
      <w:pPr>
        <w:pStyle w:val="Style15"/>
        <w:rPr/>
      </w:pPr>
      <w:r>
        <w:rPr/>
      </w:r>
    </w:p>
    <w:p>
      <w:pPr>
        <w:pStyle w:val="1"/>
        <w:rPr/>
      </w:pPr>
      <w:r>
        <w:rPr/>
        <w:t>Более 343 тысяч семей улучшили жилищные условия за счет материнского капитала</w:t>
      </w:r>
    </w:p>
    <w:p>
      <w:pPr>
        <w:pStyle w:val="Style15"/>
        <w:rPr/>
      </w:pPr>
      <w:r>
        <w:rPr/>
        <w:t>К середине августа свыше 343 тыс. семей улучшили жилищные условия за счет материнского капитала. Из них 77 тыс. использовали средства на прямую покупку жилья без привлечения кредита. По заявлениям таких семей Социальный фонд перечислил в этом году 51,7 млрд рублей. Еще 266 тыс. семей оплатили кредиты в банках на общую сумму 188,3 млрд рублей.</w:t>
        <w:br/>
        <w:t> </w:t>
        <w:br/>
        <w:t>Таким образом, объем удовлетворенных распоряжений на покупку жилья, по которым были перечислены средства, вырос на 14% по сравнению с аналогичным периодом прошлого года. Прежде всего это произошло за счет увеличения числа ипотечных сделок с привлечением материнского капитала. Они же повлияли и на общую сумму, выделенную по заявлениям семей на улучшение жилья. Соответствующие расходы выросли год к году еще больше, чем сами распоряжения, – почти на 20%.</w:t>
        <w:br/>
        <w:t> </w:t>
        <w:br/>
        <w:t>Приобретение жилья – одно из самых популярных направлений использования материнского капитала. Потратить деньги на улучшение жилищных условий можно, когда ребенку исполняется три года. Исключением является погашение основного долга или первоначального взноса по ипотеке. Средства в таком случае можно вложить сразу после рождения или усыновления ребенка, с появлением которого появилось право на сертификат.</w:t>
        <w:br/>
        <w:t> </w:t>
        <w:br/>
        <w:t>Следует учитывать, что для использования материнского капитала приобретаемое или строящееся жилье должно находиться в России. Также стоит иметь в виду, что ремонт не входит в перечень работ по улучшению жилищных условий, поэтому потратить на него материнский капитал не получится.</w:t>
        <w:br/>
        <w:t> </w:t>
        <w:br/>
        <w:t>Программа материнского капитала действует в России с 2007 года и помогла миллионам семей с детьми улучшить жилищные условия. Сегодня мера поддержки реализуется в рамках национального проекта «Семья».</w:t>
      </w:r>
    </w:p>
    <w:p>
      <w:pPr>
        <w:pStyle w:val="Style15"/>
        <w:rPr/>
      </w:pPr>
      <w:r>
        <w:rPr/>
      </w:r>
    </w:p>
    <w:p>
      <w:pPr>
        <w:pStyle w:val="Style15"/>
        <w:spacing w:before="0" w:after="140"/>
        <w:rPr/>
      </w:pPr>
      <w:r>
        <w:rPr/>
      </w:r>
    </w:p>
    <w:sectPr>
      <w:type w:val="continuous"/>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pStyle w:val="1"/>
      <w:numFmt w:val="none"/>
      <w:suff w:val="nothing"/>
      <w:lvlText w:val=""/>
      <w:lvlJc w:val="left"/>
      <w:pPr>
        <w:ind w:left="0" w:hanging="0"/>
      </w:pPr>
    </w:lvl>
    <w:lvl w:ilvl="1">
      <w:start w:val="1"/>
      <w:pStyle w:val="2"/>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paragraph" w:styleId="2">
    <w:name w:val="Heading 2"/>
    <w:basedOn w:val="Style14"/>
    <w:next w:val="Style15"/>
    <w:qFormat/>
    <w:pPr>
      <w:spacing w:before="200" w:after="120"/>
      <w:outlineLvl w:val="1"/>
    </w:pPr>
    <w:rPr>
      <w:rFonts w:ascii="Liberation Serif" w:hAnsi="Liberation Serif" w:eastAsia="SimSun" w:cs="Mangal"/>
      <w:b/>
      <w:bCs/>
      <w:sz w:val="36"/>
      <w:szCs w:val="36"/>
    </w:rPr>
  </w:style>
  <w:style w:type="character" w:styleId="Style12">
    <w:name w:val="Интернет-ссылка"/>
    <w:rPr>
      <w:color w:val="000080"/>
      <w:u w:val="single"/>
      <w:lang w:val="zxx" w:eastAsia="zxx" w:bidi="zxx"/>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sfr.gov.ru/thm/pfrf2020/new-design/img/logo.svg" TargetMode="External"/><Relationship Id="rId3" Type="http://schemas.openxmlformats.org/officeDocument/2006/relationships/hyperlink" Target="https://sfr.gov.ru/" TargetMode="External"/><Relationship Id="rId4" Type="http://schemas.openxmlformats.org/officeDocument/2006/relationships/hyperlink" Target="https://sfr.gov.ru/en/" TargetMode="External"/><Relationship Id="rId5" Type="http://schemas.openxmlformats.org/officeDocument/2006/relationships/hyperlink" Target="https://sfr.gov.ru/" TargetMode="External"/><Relationship Id="rId6" Type="http://schemas.openxmlformats.org/officeDocument/2006/relationships/hyperlink" Target="https://sfr.gov.ru/" TargetMode="External"/><Relationship Id="rId7" Type="http://schemas.openxmlformats.org/officeDocument/2006/relationships/hyperlink" Target="https://sfr.gov.ru/press_center/" TargetMode="External"/><Relationship Id="rId8" Type="http://schemas.openxmlformats.org/officeDocument/2006/relationships/hyperlink" Target="https://sfr.gov.ru/press_center/news/" TargetMode="External"/><Relationship Id="rId9" Type="http://schemas.openxmlformats.org/officeDocument/2006/relationships/image" Target="https://sfr.gov.ru/thm/pfrf2020/new-design/img/icons/press-icon.svg" TargetMode="Externa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LibreOffice/5.4.0.3$Windows_x86 LibreOffice_project/7556cbc6811c9d992f4064ab9287069087d7f62c</Application>
  <Pages>2</Pages>
  <Words>305</Words>
  <Characters>1833</Characters>
  <CharactersWithSpaces>2119</CharactersWithSpaces>
  <Paragraphs>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2026-08-21T09:46:47Z</dcterms:created>
  <dc:creator/>
  <dc:description/>
  <dc:language>ru-RU</dc:language>
  <cp:lastModifiedBy/>
  <dcterms:modified xsi:type="dcterms:W3CDTF">2026-08-21T11:04:22Z</dcterms:modified>
  <cp:revision>1</cp:revision>
  <dc:subject/>
  <dc:title/>
</cp:coreProperties>
</file>