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Соцфонд назвал регионы-лидеры по числу многодетных семей</w:t>
      </w:r>
    </w:p>
    <w:p>
      <w:pPr>
        <w:pStyle w:val="Style14"/>
        <w:rPr/>
      </w:pPr>
      <w:r>
        <w:rPr/>
        <w:t>Социальный фонд России назвал число новых получателей соцподдержки среди семей в 1 квартале. С января по март включительно в стране родилось почти 75 тысяч детей, ставших третьими, четвертыми или пятыми и более в своих семьях. Эти данные используются для расчета мер государственной поддержки, включая материнский капитал, ежемесячные выплаты и льготы.</w:t>
      </w:r>
    </w:p>
    <w:p>
      <w:pPr>
        <w:pStyle w:val="Style14"/>
        <w:rPr/>
      </w:pPr>
      <w:r>
        <w:rPr/>
        <w:t>Из общего числа многодетных рождений третьи дети составили 44 951, четвертые — 18 257, пятые и последующие — 11 071. Наибольшее количество многодетных рождений пришлось на январь (27 439), затем февраль (24 488) и март (22 352).</w:t>
      </w:r>
    </w:p>
    <w:p>
      <w:pPr>
        <w:pStyle w:val="Style14"/>
        <w:rPr/>
      </w:pPr>
      <w:r>
        <w:rPr/>
        <w:t>Москва, Московская область и Краснодарский край уверенно удерживают лидерство по абсолютному числу многодетных семей. За I квартал в Москве насчитывается 4 901 семья (15 760 детей), в Московской области — 4 090 семей (13 633 ребенка), в Краснодарском крае — 2 841 семья (10 206 детей). Среди лидеров также Республика Дагестан (3 474 семьи, 12 743 ребенка), Чеченская Республика (2 412 семей, 9 838 детей) и Республика Татарстан (667 семей, 2 322 ребенка — только за март).</w:t>
      </w:r>
    </w:p>
    <w:p>
      <w:pPr>
        <w:pStyle w:val="Style14"/>
        <w:rPr/>
      </w:pPr>
      <w:r>
        <w:rPr/>
        <w:t>При этом в Республике Дагестан и Чеченской Республике отмечается более высокое среднее количество детей в таких семьях. Например, в январе в Дагестане на 1 480 семей приходилось 5 420 детей — в среднем 3,66 ребенка на семью, против 3,26 в Москве.</w:t>
      </w:r>
    </w:p>
    <w:p>
      <w:pPr>
        <w:pStyle w:val="Style14"/>
        <w:rPr/>
      </w:pPr>
      <w:r>
        <w:rPr/>
        <w:t>Напоминаем, что с этого года родители двух и более детей смогут получить ежегодную семейную выплату. Право на выплату имеют оба родителя, при этом они должны быть налоговыми резидентами Российской Федерации и уплатить НДФЛ в году, предшествующем году обращения за выплатой.</w:t>
      </w:r>
    </w:p>
    <w:p>
      <w:pPr>
        <w:pStyle w:val="Style14"/>
        <w:rPr/>
      </w:pPr>
      <w:r>
        <w:rPr/>
        <w:t>Принимать заявления Социальный фонд начнет с 1 июня 2026 года — при условии, что и родители, и дети являются гражданами РФ и постоянно проживают на территории страны.</w:t>
      </w:r>
    </w:p>
    <w:p>
      <w:pPr>
        <w:pStyle w:val="Style14"/>
        <w:rPr/>
      </w:pPr>
      <w:r>
        <w:rPr/>
        <w:t>Право на выплату определяется с учетом комплексной оценки нуждаемости: доход на одного члена семьи не должен превышать 1,5 прожиточного минимума в регионе, а имущество — установленные законом критерии. Выплата рассчитывается так: налог с доходов родителей в течение года удерживается полностью, по итогам года его пересчитывают по сниженной ставке 6% и возвращают полученную разницу.</w:t>
        <w:br/>
        <w:br/>
        <w:t>Обратиться за средствами можно будет через «Госуслуги», в клиентских отделениях Социального фонда и МФЦ. Выплата не лишает права на другие пособия и меры поддержки.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348</Words>
  <Characters>1993</Characters>
  <CharactersWithSpaces>2342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2026-04-13T10:17:02Z</dcterms:created>
  <dc:creator/>
  <dc:description/>
  <dc:language>ru-RU</dc:language>
  <cp:lastModifiedBy/>
  <dcterms:modified xsi:type="dcterms:W3CDTF">2026-04-13T10:17:43Z</dcterms:modified>
  <cp:revision>1</cp:revision>
  <dc:subject/>
  <dc:title/>
</cp:coreProperties>
</file>