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3"/>
        <w:rPr/>
      </w:pPr>
      <w:r>
        <w:rPr/>
        <w:t>Около 1000 человек прошли комплексную реабилитацию в рамках пилотного проекта СФР</w:t>
      </w:r>
    </w:p>
    <w:p>
      <w:pPr>
        <w:pStyle w:val="Style14"/>
        <w:rPr/>
      </w:pPr>
      <w:r>
        <w:rPr/>
        <w:t>Социальный фонд запустил пилотный проект по комплексной реабилитации пострадавших в результате тяжелых несчастных случаев на производстве в октябре прошлого года. В его основе – межведомственное взаимодействие отделений СФР, протезно-ортопедических предприятий, учреждений медико-социальной экспертизы и служб занятости населения на базе центров реабилитации СФР.</w:t>
      </w:r>
    </w:p>
    <w:p>
      <w:pPr>
        <w:pStyle w:val="Style14"/>
        <w:rPr/>
      </w:pPr>
      <w:r>
        <w:rPr/>
        <w:t>Проект значительно упростил для пострадавших процесс оформления документов. Пострадавшим на производстве больше не нужно самостоятельно ездить по медучреждениям и протезным предприятиям, чтобы собрать заключения и направления на медико-социальную экспертизу. Всё необходимое теперь можно получить в одном месте — в реабилитационном центре Социального фонда. Это экономит их время, снижает бюрократическую нагрузку и позволяет сосредоточиться на главном — восстановлении здоровья.</w:t>
      </w:r>
    </w:p>
    <w:p>
      <w:pPr>
        <w:pStyle w:val="Style14"/>
        <w:rPr/>
      </w:pPr>
      <w:r>
        <w:rPr/>
        <w:t>За время действия пилотного проекта 936 человек были направлены в реабилитационные центры СФР. 419 уже прошли освидетельствование на базе центров реабилитации. Комиссии по МСЭ оценили их состояние и разработали для 410 из них программы реабилитации пострадавших в период временной нетрудоспособности.</w:t>
      </w:r>
    </w:p>
    <w:p>
      <w:pPr>
        <w:pStyle w:val="Style14"/>
        <w:rPr/>
      </w:pPr>
      <w:r>
        <w:rPr/>
        <w:t>Другое важное новшество: медико-технические комиссии разрабатывают для пострадавших заключения и рекомендации по техническим средствам реабилитации. Это очень важно, поскольку у некоторых пациентов могут быть противопоказания для протезирования. В центрах реабилитации стараются находить оптимальные решения, чтобы каждый человек получил необходимую поддержку и возможность для восстановления.</w:t>
      </w:r>
    </w:p>
    <w:p>
      <w:pPr>
        <w:pStyle w:val="Style14"/>
        <w:rPr/>
      </w:pPr>
      <w:r>
        <w:rPr/>
        <w:t>Третья мера поддержки – выезд в реабилитационные центры специалистов служб занятости. Консультационную помощь от них уже получили 438 пострадавших. Специалисты службы занятости помогают определить, нужно ли пострадавшим проходить обучение или переподготовку, дают рекомендации по трудоустройству. Это важно для того, чтобы обеспечить их возвращение в трудовую деятельность и помочь им адаптироваться после травмы.</w:t>
      </w:r>
    </w:p>
    <w:p>
      <w:pPr>
        <w:pStyle w:val="Style14"/>
        <w:rPr/>
      </w:pPr>
      <w:r>
        <w:rPr/>
        <w:t>Сотрудничество фонда с организациями, вовлеченными в процесс реабилитации, позволяет улучшить ее качество и помочь большему числу людей, пострадавших на производстве. По предварительным данным, около 90% пострадавших, прошедших реабилитацию в реабилитационных центрах СФР, возвращаются к трудовой деятельности. При этом 6% находят новое место работы.</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286</Words>
  <Characters>2096</Characters>
  <CharactersWithSpaces>2379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2025-11-17T15:59:36Z</dcterms:created>
  <dc:creator/>
  <dc:description/>
  <dc:language>ru-RU</dc:language>
  <cp:lastModifiedBy/>
  <dcterms:modified xsi:type="dcterms:W3CDTF">2025-11-17T16:01:15Z</dcterms:modified>
  <cp:revision>1</cp:revision>
  <dc:subject/>
  <dc:title/>
</cp:coreProperties>
</file>