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B465D5">
      <w:pPr>
        <w:jc w:val="right"/>
      </w:pPr>
    </w:p>
    <w:p w14:paraId="3EB384F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Итоги по выполнению основных показателей прогноза социально-экономического развития </w:t>
      </w:r>
    </w:p>
    <w:p w14:paraId="08015A8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Ельниковского муниципального района</w:t>
      </w:r>
    </w:p>
    <w:p w14:paraId="36FB334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за январь-декабрь 202</w:t>
      </w:r>
      <w:r>
        <w:rPr>
          <w:rFonts w:hint="default"/>
          <w:b/>
          <w:sz w:val="24"/>
          <w:szCs w:val="24"/>
          <w:lang w:val="ru-RU"/>
        </w:rPr>
        <w:t>4</w:t>
      </w:r>
      <w:r>
        <w:rPr>
          <w:b/>
          <w:sz w:val="24"/>
          <w:szCs w:val="24"/>
        </w:rPr>
        <w:t xml:space="preserve"> год </w:t>
      </w:r>
    </w:p>
    <w:tbl>
      <w:tblPr>
        <w:tblStyle w:val="3"/>
        <w:tblW w:w="10348" w:type="dxa"/>
        <w:tblInd w:w="-74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61"/>
        <w:gridCol w:w="709"/>
        <w:gridCol w:w="1276"/>
        <w:gridCol w:w="1417"/>
        <w:gridCol w:w="992"/>
        <w:gridCol w:w="1276"/>
        <w:gridCol w:w="1417"/>
      </w:tblGrid>
      <w:tr w14:paraId="57D20E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3261" w:type="dxa"/>
            <w:shd w:val="clear" w:color="auto" w:fill="auto"/>
          </w:tcPr>
          <w:p w14:paraId="5DEC02A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Показатели</w:t>
            </w:r>
          </w:p>
        </w:tc>
        <w:tc>
          <w:tcPr>
            <w:tcW w:w="709" w:type="dxa"/>
            <w:shd w:val="clear" w:color="auto" w:fill="auto"/>
          </w:tcPr>
          <w:p w14:paraId="422E161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Единица </w:t>
            </w:r>
          </w:p>
        </w:tc>
        <w:tc>
          <w:tcPr>
            <w:tcW w:w="1276" w:type="dxa"/>
            <w:shd w:val="clear" w:color="auto" w:fill="auto"/>
          </w:tcPr>
          <w:p w14:paraId="7D13036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прогноз</w:t>
            </w:r>
          </w:p>
        </w:tc>
        <w:tc>
          <w:tcPr>
            <w:tcW w:w="1417" w:type="dxa"/>
          </w:tcPr>
          <w:p w14:paraId="5D76F22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факт</w:t>
            </w:r>
          </w:p>
        </w:tc>
        <w:tc>
          <w:tcPr>
            <w:tcW w:w="992" w:type="dxa"/>
            <w:shd w:val="clear" w:color="auto" w:fill="auto"/>
          </w:tcPr>
          <w:p w14:paraId="37343A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% выполнения</w:t>
            </w:r>
          </w:p>
        </w:tc>
        <w:tc>
          <w:tcPr>
            <w:tcW w:w="1276" w:type="dxa"/>
          </w:tcPr>
          <w:p w14:paraId="69A1F38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темп роста</w:t>
            </w:r>
          </w:p>
        </w:tc>
        <w:tc>
          <w:tcPr>
            <w:tcW w:w="1417" w:type="dxa"/>
          </w:tcPr>
          <w:p w14:paraId="05097B7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 расчете на 1 жителя (руб.)</w:t>
            </w:r>
          </w:p>
        </w:tc>
      </w:tr>
      <w:tr w14:paraId="4F8154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3261" w:type="dxa"/>
            <w:shd w:val="clear" w:color="auto" w:fill="auto"/>
          </w:tcPr>
          <w:p w14:paraId="308013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Объем собственных доходов бюджета за исключением доходов полученных в виде безвозмездных и безвозвратных  перечислений из бюджета</w:t>
            </w:r>
          </w:p>
        </w:tc>
        <w:tc>
          <w:tcPr>
            <w:tcW w:w="709" w:type="dxa"/>
            <w:shd w:val="clear" w:color="auto" w:fill="auto"/>
          </w:tcPr>
          <w:p w14:paraId="3C8001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тыс. руб.</w:t>
            </w:r>
          </w:p>
        </w:tc>
        <w:tc>
          <w:tcPr>
            <w:tcW w:w="1276" w:type="dxa"/>
            <w:shd w:val="clear" w:color="auto" w:fill="auto"/>
          </w:tcPr>
          <w:p w14:paraId="15BC1A6A">
            <w:pPr>
              <w:jc w:val="center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rFonts w:hint="default"/>
                <w:sz w:val="24"/>
                <w:szCs w:val="24"/>
                <w:lang w:val="ru-RU"/>
              </w:rPr>
              <w:t>52 786,5</w:t>
            </w:r>
          </w:p>
        </w:tc>
        <w:tc>
          <w:tcPr>
            <w:tcW w:w="1417" w:type="dxa"/>
          </w:tcPr>
          <w:p w14:paraId="6C4E1026">
            <w:pPr>
              <w:jc w:val="center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rFonts w:hint="default"/>
                <w:sz w:val="24"/>
                <w:szCs w:val="24"/>
                <w:lang w:val="ru-RU"/>
              </w:rPr>
              <w:t>57 465</w:t>
            </w:r>
          </w:p>
        </w:tc>
        <w:tc>
          <w:tcPr>
            <w:tcW w:w="992" w:type="dxa"/>
            <w:shd w:val="clear" w:color="auto" w:fill="auto"/>
          </w:tcPr>
          <w:p w14:paraId="09CE7220">
            <w:pPr>
              <w:jc w:val="center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1</w:t>
            </w:r>
            <w:r>
              <w:rPr>
                <w:rFonts w:hint="default"/>
                <w:sz w:val="24"/>
                <w:szCs w:val="24"/>
                <w:lang w:val="ru-RU"/>
              </w:rPr>
              <w:t>08,9</w:t>
            </w:r>
          </w:p>
        </w:tc>
        <w:tc>
          <w:tcPr>
            <w:tcW w:w="1276" w:type="dxa"/>
          </w:tcPr>
          <w:p w14:paraId="4FFCF3E4">
            <w:pPr>
              <w:jc w:val="center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rFonts w:hint="default"/>
                <w:sz w:val="24"/>
                <w:szCs w:val="24"/>
                <w:lang w:val="ru-RU"/>
              </w:rPr>
              <w:t>127,1</w:t>
            </w:r>
          </w:p>
        </w:tc>
        <w:tc>
          <w:tcPr>
            <w:tcW w:w="1417" w:type="dxa"/>
          </w:tcPr>
          <w:p w14:paraId="3625497F">
            <w:pPr>
              <w:jc w:val="center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rFonts w:hint="default"/>
                <w:sz w:val="24"/>
                <w:szCs w:val="24"/>
                <w:lang w:val="ru-RU"/>
              </w:rPr>
              <w:t>6 337,1</w:t>
            </w:r>
          </w:p>
        </w:tc>
      </w:tr>
      <w:tr w14:paraId="46F4A5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61" w:type="dxa"/>
            <w:shd w:val="clear" w:color="auto" w:fill="auto"/>
          </w:tcPr>
          <w:p w14:paraId="2F9536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Объем реализованной (отгруженной) продукции промышленного производства</w:t>
            </w:r>
          </w:p>
        </w:tc>
        <w:tc>
          <w:tcPr>
            <w:tcW w:w="709" w:type="dxa"/>
            <w:shd w:val="clear" w:color="auto" w:fill="auto"/>
          </w:tcPr>
          <w:p w14:paraId="0A5138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тыс. руб.</w:t>
            </w:r>
          </w:p>
        </w:tc>
        <w:tc>
          <w:tcPr>
            <w:tcW w:w="1276" w:type="dxa"/>
            <w:shd w:val="clear" w:color="auto" w:fill="auto"/>
          </w:tcPr>
          <w:p w14:paraId="68E07C9A">
            <w:pPr>
              <w:jc w:val="center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3</w:t>
            </w:r>
            <w:r>
              <w:rPr>
                <w:rFonts w:hint="default"/>
                <w:sz w:val="24"/>
                <w:szCs w:val="24"/>
                <w:lang w:val="ru-RU"/>
              </w:rPr>
              <w:t>5 408</w:t>
            </w:r>
          </w:p>
        </w:tc>
        <w:tc>
          <w:tcPr>
            <w:tcW w:w="1417" w:type="dxa"/>
          </w:tcPr>
          <w:p w14:paraId="07190208">
            <w:pPr>
              <w:jc w:val="center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3</w:t>
            </w:r>
            <w:r>
              <w:rPr>
                <w:rFonts w:hint="default"/>
                <w:sz w:val="24"/>
                <w:szCs w:val="24"/>
                <w:lang w:val="ru-RU"/>
              </w:rPr>
              <w:t>9 212</w:t>
            </w:r>
          </w:p>
        </w:tc>
        <w:tc>
          <w:tcPr>
            <w:tcW w:w="992" w:type="dxa"/>
            <w:shd w:val="clear" w:color="auto" w:fill="auto"/>
          </w:tcPr>
          <w:p w14:paraId="656F9777">
            <w:pPr>
              <w:jc w:val="center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rFonts w:hint="default"/>
                <w:sz w:val="24"/>
                <w:szCs w:val="24"/>
                <w:lang w:val="ru-RU"/>
              </w:rPr>
              <w:t>10,7</w:t>
            </w:r>
          </w:p>
        </w:tc>
        <w:tc>
          <w:tcPr>
            <w:tcW w:w="1276" w:type="dxa"/>
          </w:tcPr>
          <w:p w14:paraId="051290AB">
            <w:pPr>
              <w:jc w:val="center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rFonts w:hint="default"/>
                <w:sz w:val="24"/>
                <w:szCs w:val="24"/>
                <w:lang w:val="ru-RU"/>
              </w:rPr>
              <w:t>107,9</w:t>
            </w:r>
          </w:p>
        </w:tc>
        <w:tc>
          <w:tcPr>
            <w:tcW w:w="1417" w:type="dxa"/>
          </w:tcPr>
          <w:p w14:paraId="34449AD5">
            <w:pPr>
              <w:jc w:val="center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4 </w:t>
            </w:r>
            <w:r>
              <w:rPr>
                <w:rFonts w:hint="default"/>
                <w:sz w:val="24"/>
                <w:szCs w:val="24"/>
                <w:lang w:val="ru-RU"/>
              </w:rPr>
              <w:t>324,2</w:t>
            </w:r>
          </w:p>
        </w:tc>
      </w:tr>
      <w:tr w14:paraId="6D3199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61" w:type="dxa"/>
            <w:shd w:val="clear" w:color="auto" w:fill="auto"/>
          </w:tcPr>
          <w:p w14:paraId="32798F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Объём инвестиций в основной капитал (за исключением бюджетных средств)</w:t>
            </w:r>
          </w:p>
        </w:tc>
        <w:tc>
          <w:tcPr>
            <w:tcW w:w="709" w:type="dxa"/>
            <w:shd w:val="clear" w:color="auto" w:fill="auto"/>
          </w:tcPr>
          <w:p w14:paraId="7C8E4DD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тыс. руб.</w:t>
            </w:r>
          </w:p>
        </w:tc>
        <w:tc>
          <w:tcPr>
            <w:tcW w:w="1276" w:type="dxa"/>
            <w:shd w:val="clear" w:color="auto" w:fill="auto"/>
          </w:tcPr>
          <w:p w14:paraId="7A4DFF6F">
            <w:pPr>
              <w:jc w:val="center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rFonts w:hint="default"/>
                <w:sz w:val="24"/>
                <w:szCs w:val="24"/>
                <w:lang w:val="ru-RU"/>
              </w:rPr>
              <w:t>113 800</w:t>
            </w:r>
          </w:p>
        </w:tc>
        <w:tc>
          <w:tcPr>
            <w:tcW w:w="1417" w:type="dxa"/>
          </w:tcPr>
          <w:p w14:paraId="1D4D31BF">
            <w:pPr>
              <w:jc w:val="center"/>
              <w:rPr>
                <w:rFonts w:hint="default"/>
                <w:sz w:val="24"/>
                <w:szCs w:val="24"/>
                <w:highlight w:val="none"/>
                <w:lang w:val="ru-RU"/>
              </w:rPr>
            </w:pPr>
            <w:r>
              <w:rPr>
                <w:rFonts w:hint="default"/>
                <w:sz w:val="24"/>
                <w:szCs w:val="24"/>
                <w:highlight w:val="none"/>
                <w:lang w:val="ru-RU"/>
              </w:rPr>
              <w:t>98 337</w:t>
            </w:r>
          </w:p>
        </w:tc>
        <w:tc>
          <w:tcPr>
            <w:tcW w:w="992" w:type="dxa"/>
            <w:shd w:val="clear" w:color="auto" w:fill="auto"/>
          </w:tcPr>
          <w:p w14:paraId="357A3FEF">
            <w:pPr>
              <w:jc w:val="center"/>
              <w:rPr>
                <w:rFonts w:hint="default"/>
                <w:sz w:val="24"/>
                <w:szCs w:val="24"/>
                <w:highlight w:val="none"/>
                <w:lang w:val="ru-RU"/>
              </w:rPr>
            </w:pPr>
            <w:r>
              <w:rPr>
                <w:rFonts w:hint="default"/>
                <w:sz w:val="24"/>
                <w:szCs w:val="24"/>
                <w:highlight w:val="none"/>
                <w:lang w:val="ru-RU"/>
              </w:rPr>
              <w:t>86,4</w:t>
            </w:r>
          </w:p>
        </w:tc>
        <w:tc>
          <w:tcPr>
            <w:tcW w:w="1276" w:type="dxa"/>
          </w:tcPr>
          <w:p w14:paraId="2DF37B9B">
            <w:pPr>
              <w:jc w:val="center"/>
              <w:rPr>
                <w:rFonts w:hint="default"/>
                <w:sz w:val="24"/>
                <w:szCs w:val="24"/>
                <w:highlight w:val="none"/>
                <w:lang w:val="ru-RU"/>
              </w:rPr>
            </w:pPr>
            <w:r>
              <w:rPr>
                <w:rFonts w:hint="default"/>
                <w:sz w:val="24"/>
                <w:szCs w:val="24"/>
                <w:highlight w:val="none"/>
                <w:lang w:val="ru-RU"/>
              </w:rPr>
              <w:t>157,3</w:t>
            </w:r>
          </w:p>
        </w:tc>
        <w:tc>
          <w:tcPr>
            <w:tcW w:w="1417" w:type="dxa"/>
          </w:tcPr>
          <w:p w14:paraId="70D9C398">
            <w:pPr>
              <w:jc w:val="center"/>
              <w:rPr>
                <w:rFonts w:hint="default"/>
                <w:sz w:val="24"/>
                <w:szCs w:val="24"/>
                <w:highlight w:val="none"/>
                <w:lang w:val="ru-RU"/>
              </w:rPr>
            </w:pPr>
            <w:r>
              <w:rPr>
                <w:rFonts w:hint="default"/>
                <w:sz w:val="24"/>
                <w:szCs w:val="24"/>
                <w:highlight w:val="none"/>
                <w:lang w:val="ru-RU"/>
              </w:rPr>
              <w:t>10 844,4</w:t>
            </w:r>
          </w:p>
        </w:tc>
      </w:tr>
      <w:tr w14:paraId="1BAEB9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61" w:type="dxa"/>
            <w:shd w:val="clear" w:color="auto" w:fill="auto"/>
          </w:tcPr>
          <w:p w14:paraId="22E24F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Производство скота и птицы от сельскохозяйственных товаропроизводителей и КФХ</w:t>
            </w:r>
          </w:p>
        </w:tc>
        <w:tc>
          <w:tcPr>
            <w:tcW w:w="709" w:type="dxa"/>
            <w:shd w:val="clear" w:color="auto" w:fill="auto"/>
          </w:tcPr>
          <w:p w14:paraId="5EFF9CA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тонн</w:t>
            </w:r>
          </w:p>
        </w:tc>
        <w:tc>
          <w:tcPr>
            <w:tcW w:w="1276" w:type="dxa"/>
            <w:shd w:val="clear" w:color="auto" w:fill="auto"/>
          </w:tcPr>
          <w:p w14:paraId="0F28D6CF">
            <w:pPr>
              <w:jc w:val="center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4</w:t>
            </w:r>
            <w:r>
              <w:rPr>
                <w:rFonts w:hint="default"/>
                <w:sz w:val="24"/>
                <w:szCs w:val="24"/>
                <w:lang w:val="ru-RU"/>
              </w:rPr>
              <w:t>25</w:t>
            </w:r>
          </w:p>
        </w:tc>
        <w:tc>
          <w:tcPr>
            <w:tcW w:w="1417" w:type="dxa"/>
          </w:tcPr>
          <w:p w14:paraId="2CC58284">
            <w:pPr>
              <w:jc w:val="center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4</w:t>
            </w:r>
            <w:r>
              <w:rPr>
                <w:rFonts w:hint="default"/>
                <w:sz w:val="24"/>
                <w:szCs w:val="24"/>
                <w:lang w:val="ru-RU"/>
              </w:rPr>
              <w:t>27,4</w:t>
            </w:r>
          </w:p>
        </w:tc>
        <w:tc>
          <w:tcPr>
            <w:tcW w:w="992" w:type="dxa"/>
            <w:shd w:val="clear" w:color="auto" w:fill="auto"/>
          </w:tcPr>
          <w:p w14:paraId="302CC816">
            <w:pPr>
              <w:jc w:val="center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rFonts w:hint="default"/>
                <w:sz w:val="24"/>
                <w:szCs w:val="24"/>
                <w:lang w:val="ru-RU"/>
              </w:rPr>
              <w:t>00,5</w:t>
            </w:r>
          </w:p>
        </w:tc>
        <w:tc>
          <w:tcPr>
            <w:tcW w:w="1276" w:type="dxa"/>
          </w:tcPr>
          <w:p w14:paraId="4104CE6E">
            <w:pPr>
              <w:jc w:val="center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rFonts w:hint="default"/>
                <w:sz w:val="24"/>
                <w:szCs w:val="24"/>
                <w:lang w:val="ru-RU"/>
              </w:rPr>
              <w:t>92,2</w:t>
            </w:r>
          </w:p>
        </w:tc>
        <w:tc>
          <w:tcPr>
            <w:tcW w:w="1417" w:type="dxa"/>
          </w:tcPr>
          <w:p w14:paraId="70703503">
            <w:pPr>
              <w:jc w:val="center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4</w:t>
            </w:r>
            <w:r>
              <w:rPr>
                <w:rFonts w:hint="default"/>
                <w:sz w:val="24"/>
                <w:szCs w:val="24"/>
                <w:lang w:val="ru-RU"/>
              </w:rPr>
              <w:t>7,1</w:t>
            </w:r>
          </w:p>
        </w:tc>
      </w:tr>
      <w:tr w14:paraId="784D06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61" w:type="dxa"/>
            <w:shd w:val="clear" w:color="auto" w:fill="auto"/>
          </w:tcPr>
          <w:p w14:paraId="19052A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Производство молока от сельскохозяйственных товаропроизводителей и КФХ</w:t>
            </w:r>
          </w:p>
        </w:tc>
        <w:tc>
          <w:tcPr>
            <w:tcW w:w="709" w:type="dxa"/>
            <w:shd w:val="clear" w:color="auto" w:fill="auto"/>
          </w:tcPr>
          <w:p w14:paraId="763AA7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тонн</w:t>
            </w:r>
          </w:p>
        </w:tc>
        <w:tc>
          <w:tcPr>
            <w:tcW w:w="1276" w:type="dxa"/>
            <w:shd w:val="clear" w:color="auto" w:fill="auto"/>
          </w:tcPr>
          <w:p w14:paraId="43357057">
            <w:pPr>
              <w:jc w:val="center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 xml:space="preserve">8 </w:t>
            </w:r>
            <w:r>
              <w:rPr>
                <w:rFonts w:hint="default"/>
                <w:sz w:val="24"/>
                <w:szCs w:val="24"/>
                <w:lang w:val="ru-RU"/>
              </w:rPr>
              <w:t>500</w:t>
            </w:r>
          </w:p>
        </w:tc>
        <w:tc>
          <w:tcPr>
            <w:tcW w:w="1417" w:type="dxa"/>
          </w:tcPr>
          <w:p w14:paraId="7423838F">
            <w:pPr>
              <w:jc w:val="center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rFonts w:hint="default"/>
                <w:sz w:val="24"/>
                <w:szCs w:val="24"/>
                <w:lang w:val="ru-RU"/>
              </w:rPr>
              <w:t>7 372,6</w:t>
            </w:r>
          </w:p>
        </w:tc>
        <w:tc>
          <w:tcPr>
            <w:tcW w:w="992" w:type="dxa"/>
            <w:shd w:val="clear" w:color="auto" w:fill="auto"/>
          </w:tcPr>
          <w:p w14:paraId="117AE982">
            <w:pPr>
              <w:jc w:val="center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rFonts w:hint="default"/>
                <w:sz w:val="24"/>
                <w:szCs w:val="24"/>
                <w:lang w:val="ru-RU"/>
              </w:rPr>
              <w:t>86,7</w:t>
            </w:r>
          </w:p>
        </w:tc>
        <w:tc>
          <w:tcPr>
            <w:tcW w:w="1276" w:type="dxa"/>
          </w:tcPr>
          <w:p w14:paraId="335CCAB6">
            <w:pPr>
              <w:jc w:val="center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9</w:t>
            </w:r>
            <w:r>
              <w:rPr>
                <w:rFonts w:hint="default"/>
                <w:sz w:val="24"/>
                <w:szCs w:val="24"/>
                <w:lang w:val="ru-RU"/>
              </w:rPr>
              <w:t>1,9</w:t>
            </w:r>
          </w:p>
        </w:tc>
        <w:tc>
          <w:tcPr>
            <w:tcW w:w="1417" w:type="dxa"/>
          </w:tcPr>
          <w:p w14:paraId="09D98196">
            <w:pPr>
              <w:jc w:val="center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rFonts w:hint="default"/>
                <w:sz w:val="24"/>
                <w:szCs w:val="24"/>
                <w:lang w:val="ru-RU"/>
              </w:rPr>
              <w:t>813,0</w:t>
            </w:r>
          </w:p>
        </w:tc>
      </w:tr>
      <w:tr w14:paraId="47347B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61" w:type="dxa"/>
            <w:shd w:val="clear" w:color="auto" w:fill="auto"/>
          </w:tcPr>
          <w:p w14:paraId="3DF865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Сохранность поголовья скота (КРС) в сельскохозяйственных организациях и КФХ  </w:t>
            </w:r>
          </w:p>
          <w:p w14:paraId="7D659C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поголовье КРС</w:t>
            </w:r>
          </w:p>
        </w:tc>
        <w:tc>
          <w:tcPr>
            <w:tcW w:w="709" w:type="dxa"/>
            <w:shd w:val="clear" w:color="auto" w:fill="auto"/>
          </w:tcPr>
          <w:p w14:paraId="3E2CC5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голов</w:t>
            </w:r>
          </w:p>
        </w:tc>
        <w:tc>
          <w:tcPr>
            <w:tcW w:w="1276" w:type="dxa"/>
            <w:shd w:val="clear" w:color="auto" w:fill="auto"/>
          </w:tcPr>
          <w:p w14:paraId="0B715AED">
            <w:pPr>
              <w:jc w:val="center"/>
              <w:rPr>
                <w:rFonts w:hint="default"/>
                <w:sz w:val="24"/>
                <w:szCs w:val="24"/>
                <w:lang w:val="ru-RU"/>
              </w:rPr>
            </w:pPr>
          </w:p>
        </w:tc>
        <w:tc>
          <w:tcPr>
            <w:tcW w:w="1417" w:type="dxa"/>
          </w:tcPr>
          <w:p w14:paraId="52A47972">
            <w:pPr>
              <w:jc w:val="center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rFonts w:hint="default"/>
                <w:sz w:val="24"/>
                <w:szCs w:val="24"/>
                <w:lang w:val="ru-RU"/>
              </w:rPr>
              <w:t>4 490</w:t>
            </w:r>
          </w:p>
        </w:tc>
        <w:tc>
          <w:tcPr>
            <w:tcW w:w="992" w:type="dxa"/>
            <w:shd w:val="clear" w:color="auto" w:fill="auto"/>
          </w:tcPr>
          <w:p w14:paraId="0AD3E06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26C2A6B0">
            <w:pPr>
              <w:jc w:val="center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9</w:t>
            </w:r>
            <w:r>
              <w:rPr>
                <w:rFonts w:hint="default"/>
                <w:sz w:val="24"/>
                <w:szCs w:val="24"/>
                <w:lang w:val="ru-RU"/>
              </w:rPr>
              <w:t>2,9</w:t>
            </w:r>
          </w:p>
        </w:tc>
        <w:tc>
          <w:tcPr>
            <w:tcW w:w="1417" w:type="dxa"/>
          </w:tcPr>
          <w:p w14:paraId="148180BC">
            <w:pPr>
              <w:jc w:val="center"/>
              <w:rPr>
                <w:sz w:val="24"/>
                <w:szCs w:val="24"/>
              </w:rPr>
            </w:pPr>
          </w:p>
        </w:tc>
      </w:tr>
      <w:tr w14:paraId="7C5974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61" w:type="dxa"/>
            <w:shd w:val="clear" w:color="auto" w:fill="auto"/>
          </w:tcPr>
          <w:p w14:paraId="436431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т.ч. коров</w:t>
            </w:r>
          </w:p>
          <w:p w14:paraId="75C7E76D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106247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голов</w:t>
            </w:r>
          </w:p>
        </w:tc>
        <w:tc>
          <w:tcPr>
            <w:tcW w:w="1276" w:type="dxa"/>
            <w:shd w:val="clear" w:color="auto" w:fill="auto"/>
          </w:tcPr>
          <w:p w14:paraId="33B23B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57924C08">
            <w:pPr>
              <w:jc w:val="center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 xml:space="preserve">1 </w:t>
            </w:r>
            <w:r>
              <w:rPr>
                <w:rFonts w:hint="default"/>
                <w:sz w:val="24"/>
                <w:szCs w:val="24"/>
                <w:lang w:val="ru-RU"/>
              </w:rPr>
              <w:t>495</w:t>
            </w:r>
          </w:p>
        </w:tc>
        <w:tc>
          <w:tcPr>
            <w:tcW w:w="992" w:type="dxa"/>
            <w:shd w:val="clear" w:color="auto" w:fill="auto"/>
          </w:tcPr>
          <w:p w14:paraId="227BA4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7C6FFFC8">
            <w:pPr>
              <w:jc w:val="center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9</w:t>
            </w:r>
            <w:r>
              <w:rPr>
                <w:rFonts w:hint="default"/>
                <w:sz w:val="24"/>
                <w:szCs w:val="24"/>
                <w:lang w:val="ru-RU"/>
              </w:rPr>
              <w:t>0,1</w:t>
            </w:r>
          </w:p>
        </w:tc>
        <w:tc>
          <w:tcPr>
            <w:tcW w:w="1417" w:type="dxa"/>
          </w:tcPr>
          <w:p w14:paraId="6FB48B86">
            <w:pPr>
              <w:jc w:val="center"/>
              <w:rPr>
                <w:sz w:val="24"/>
                <w:szCs w:val="24"/>
              </w:rPr>
            </w:pPr>
          </w:p>
        </w:tc>
      </w:tr>
      <w:tr w14:paraId="5EA242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61" w:type="dxa"/>
            <w:shd w:val="clear" w:color="auto" w:fill="auto"/>
          </w:tcPr>
          <w:p w14:paraId="0EE50C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Среднемесячная номинальная заработная плата</w:t>
            </w:r>
          </w:p>
        </w:tc>
        <w:tc>
          <w:tcPr>
            <w:tcW w:w="709" w:type="dxa"/>
            <w:shd w:val="clear" w:color="auto" w:fill="auto"/>
          </w:tcPr>
          <w:p w14:paraId="041924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Руб.</w:t>
            </w:r>
          </w:p>
        </w:tc>
        <w:tc>
          <w:tcPr>
            <w:tcW w:w="1276" w:type="dxa"/>
            <w:shd w:val="clear" w:color="auto" w:fill="auto"/>
          </w:tcPr>
          <w:p w14:paraId="539B44D4">
            <w:pPr>
              <w:jc w:val="center"/>
              <w:rPr>
                <w:rFonts w:hint="default"/>
                <w:sz w:val="24"/>
                <w:szCs w:val="24"/>
                <w:highlight w:val="none"/>
                <w:lang w:val="ru-RU"/>
              </w:rPr>
            </w:pPr>
            <w:r>
              <w:rPr>
                <w:rFonts w:hint="default"/>
                <w:sz w:val="24"/>
                <w:szCs w:val="24"/>
                <w:highlight w:val="none"/>
                <w:lang w:val="ru-RU"/>
              </w:rPr>
              <w:t>40 545,2</w:t>
            </w:r>
          </w:p>
        </w:tc>
        <w:tc>
          <w:tcPr>
            <w:tcW w:w="1417" w:type="dxa"/>
          </w:tcPr>
          <w:p w14:paraId="06AC678A">
            <w:pPr>
              <w:jc w:val="center"/>
              <w:rPr>
                <w:rFonts w:hint="default"/>
                <w:sz w:val="24"/>
                <w:szCs w:val="24"/>
                <w:highlight w:val="none"/>
                <w:lang w:val="ru-RU"/>
              </w:rPr>
            </w:pPr>
            <w:r>
              <w:rPr>
                <w:rFonts w:hint="default"/>
                <w:sz w:val="24"/>
                <w:szCs w:val="24"/>
                <w:highlight w:val="none"/>
                <w:lang w:val="ru-RU"/>
              </w:rPr>
              <w:t>45 661,0</w:t>
            </w:r>
          </w:p>
        </w:tc>
        <w:tc>
          <w:tcPr>
            <w:tcW w:w="992" w:type="dxa"/>
            <w:shd w:val="clear" w:color="auto" w:fill="auto"/>
          </w:tcPr>
          <w:p w14:paraId="1F0CC98A">
            <w:pPr>
              <w:jc w:val="center"/>
              <w:rPr>
                <w:rFonts w:hint="default"/>
                <w:sz w:val="24"/>
                <w:szCs w:val="24"/>
                <w:highlight w:val="none"/>
                <w:lang w:val="ru-RU"/>
              </w:rPr>
            </w:pPr>
            <w:r>
              <w:rPr>
                <w:sz w:val="24"/>
                <w:szCs w:val="24"/>
                <w:highlight w:val="none"/>
              </w:rPr>
              <w:t>1</w:t>
            </w:r>
            <w:r>
              <w:rPr>
                <w:rFonts w:hint="default"/>
                <w:sz w:val="24"/>
                <w:szCs w:val="24"/>
                <w:highlight w:val="none"/>
                <w:lang w:val="ru-RU"/>
              </w:rPr>
              <w:t>12,6</w:t>
            </w:r>
          </w:p>
        </w:tc>
        <w:tc>
          <w:tcPr>
            <w:tcW w:w="1276" w:type="dxa"/>
          </w:tcPr>
          <w:p w14:paraId="489C73A5">
            <w:pPr>
              <w:jc w:val="center"/>
              <w:rPr>
                <w:rFonts w:hint="default"/>
                <w:sz w:val="24"/>
                <w:szCs w:val="24"/>
                <w:highlight w:val="none"/>
                <w:lang w:val="ru-RU"/>
              </w:rPr>
            </w:pPr>
            <w:r>
              <w:rPr>
                <w:sz w:val="24"/>
                <w:szCs w:val="24"/>
                <w:highlight w:val="none"/>
              </w:rPr>
              <w:t>1</w:t>
            </w:r>
            <w:r>
              <w:rPr>
                <w:rFonts w:hint="default"/>
                <w:sz w:val="24"/>
                <w:szCs w:val="24"/>
                <w:highlight w:val="none"/>
                <w:lang w:val="ru-RU"/>
              </w:rPr>
              <w:t>23,4</w:t>
            </w:r>
          </w:p>
        </w:tc>
        <w:tc>
          <w:tcPr>
            <w:tcW w:w="1417" w:type="dxa"/>
          </w:tcPr>
          <w:p w14:paraId="350D69D8">
            <w:pPr>
              <w:jc w:val="center"/>
              <w:rPr>
                <w:sz w:val="24"/>
                <w:szCs w:val="24"/>
              </w:rPr>
            </w:pPr>
          </w:p>
        </w:tc>
      </w:tr>
      <w:tr w14:paraId="4EEFE2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61" w:type="dxa"/>
            <w:shd w:val="clear" w:color="auto" w:fill="auto"/>
          </w:tcPr>
          <w:p w14:paraId="11D79F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Объем оборота розничной торговли во всех каналах реализации</w:t>
            </w:r>
          </w:p>
        </w:tc>
        <w:tc>
          <w:tcPr>
            <w:tcW w:w="709" w:type="dxa"/>
            <w:shd w:val="clear" w:color="auto" w:fill="auto"/>
          </w:tcPr>
          <w:p w14:paraId="181F3A4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тыс. руб.</w:t>
            </w:r>
          </w:p>
        </w:tc>
        <w:tc>
          <w:tcPr>
            <w:tcW w:w="1276" w:type="dxa"/>
            <w:shd w:val="clear" w:color="auto" w:fill="auto"/>
          </w:tcPr>
          <w:p w14:paraId="010AFD27">
            <w:pPr>
              <w:jc w:val="center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1 </w:t>
            </w:r>
            <w:r>
              <w:rPr>
                <w:rFonts w:hint="default"/>
                <w:sz w:val="24"/>
                <w:szCs w:val="24"/>
                <w:lang w:val="ru-RU"/>
              </w:rPr>
              <w:t>561 024</w:t>
            </w:r>
          </w:p>
        </w:tc>
        <w:tc>
          <w:tcPr>
            <w:tcW w:w="1417" w:type="dxa"/>
          </w:tcPr>
          <w:p w14:paraId="1D9E685C">
            <w:pPr>
              <w:jc w:val="center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1 </w:t>
            </w:r>
            <w:r>
              <w:rPr>
                <w:rFonts w:hint="default"/>
                <w:sz w:val="24"/>
                <w:szCs w:val="24"/>
                <w:lang w:val="ru-RU"/>
              </w:rPr>
              <w:t>433 759,7</w:t>
            </w:r>
          </w:p>
        </w:tc>
        <w:tc>
          <w:tcPr>
            <w:tcW w:w="992" w:type="dxa"/>
            <w:shd w:val="clear" w:color="auto" w:fill="auto"/>
          </w:tcPr>
          <w:p w14:paraId="611644D2">
            <w:pPr>
              <w:jc w:val="center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91,</w:t>
            </w:r>
            <w:r>
              <w:rPr>
                <w:rFonts w:hint="default"/>
                <w:sz w:val="24"/>
                <w:szCs w:val="24"/>
                <w:lang w:val="ru-RU"/>
              </w:rPr>
              <w:t>8</w:t>
            </w:r>
          </w:p>
        </w:tc>
        <w:tc>
          <w:tcPr>
            <w:tcW w:w="1276" w:type="dxa"/>
          </w:tcPr>
          <w:p w14:paraId="2E5B28DC">
            <w:pPr>
              <w:jc w:val="center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rFonts w:hint="default"/>
                <w:sz w:val="24"/>
                <w:szCs w:val="24"/>
                <w:lang w:val="ru-RU"/>
              </w:rPr>
              <w:t>06,0</w:t>
            </w:r>
          </w:p>
        </w:tc>
        <w:tc>
          <w:tcPr>
            <w:tcW w:w="1417" w:type="dxa"/>
          </w:tcPr>
          <w:p w14:paraId="7A3B45C0">
            <w:pPr>
              <w:jc w:val="center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rFonts w:hint="default"/>
                <w:sz w:val="24"/>
                <w:szCs w:val="24"/>
                <w:lang w:val="ru-RU"/>
              </w:rPr>
              <w:t>58 112,0</w:t>
            </w:r>
          </w:p>
        </w:tc>
      </w:tr>
      <w:tr w14:paraId="17D771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61" w:type="dxa"/>
            <w:shd w:val="clear" w:color="auto" w:fill="auto"/>
          </w:tcPr>
          <w:p w14:paraId="63BF8D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площадь введенного жилья с учетом индивидуального строительства</w:t>
            </w:r>
          </w:p>
        </w:tc>
        <w:tc>
          <w:tcPr>
            <w:tcW w:w="709" w:type="dxa"/>
            <w:shd w:val="clear" w:color="auto" w:fill="auto"/>
          </w:tcPr>
          <w:p w14:paraId="469A8E2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кв.м.</w:t>
            </w:r>
          </w:p>
        </w:tc>
        <w:tc>
          <w:tcPr>
            <w:tcW w:w="1276" w:type="dxa"/>
            <w:shd w:val="clear" w:color="auto" w:fill="auto"/>
          </w:tcPr>
          <w:p w14:paraId="324BD644">
            <w:pPr>
              <w:jc w:val="center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rFonts w:hint="default"/>
                <w:sz w:val="24"/>
                <w:szCs w:val="24"/>
                <w:lang w:val="ru-RU"/>
              </w:rPr>
              <w:t xml:space="preserve"> 700</w:t>
            </w:r>
          </w:p>
        </w:tc>
        <w:tc>
          <w:tcPr>
            <w:tcW w:w="1417" w:type="dxa"/>
          </w:tcPr>
          <w:p w14:paraId="2267CAB8">
            <w:pPr>
              <w:jc w:val="center"/>
              <w:rPr>
                <w:rFonts w:hint="default"/>
                <w:sz w:val="24"/>
                <w:szCs w:val="24"/>
                <w:highlight w:val="none"/>
                <w:lang w:val="ru-RU"/>
              </w:rPr>
            </w:pPr>
            <w:r>
              <w:rPr>
                <w:rFonts w:hint="default"/>
                <w:sz w:val="24"/>
                <w:szCs w:val="24"/>
                <w:highlight w:val="none"/>
                <w:lang w:val="ru-RU"/>
              </w:rPr>
              <w:t>1 834</w:t>
            </w:r>
          </w:p>
        </w:tc>
        <w:tc>
          <w:tcPr>
            <w:tcW w:w="992" w:type="dxa"/>
            <w:shd w:val="clear" w:color="auto" w:fill="auto"/>
          </w:tcPr>
          <w:p w14:paraId="02D8AA6C">
            <w:pPr>
              <w:jc w:val="center"/>
              <w:rPr>
                <w:rFonts w:hint="default"/>
                <w:sz w:val="24"/>
                <w:szCs w:val="24"/>
                <w:highlight w:val="none"/>
                <w:lang w:val="ru-RU"/>
              </w:rPr>
            </w:pPr>
            <w:r>
              <w:rPr>
                <w:rFonts w:hint="default"/>
                <w:sz w:val="24"/>
                <w:szCs w:val="24"/>
                <w:highlight w:val="none"/>
                <w:lang w:val="ru-RU"/>
              </w:rPr>
              <w:t>67,9</w:t>
            </w:r>
          </w:p>
        </w:tc>
        <w:tc>
          <w:tcPr>
            <w:tcW w:w="1276" w:type="dxa"/>
          </w:tcPr>
          <w:p w14:paraId="4D0E9FD7">
            <w:pPr>
              <w:jc w:val="center"/>
              <w:rPr>
                <w:rFonts w:hint="default"/>
                <w:sz w:val="24"/>
                <w:szCs w:val="24"/>
                <w:highlight w:val="none"/>
                <w:lang w:val="ru-RU"/>
              </w:rPr>
            </w:pPr>
            <w:r>
              <w:rPr>
                <w:rFonts w:hint="default"/>
                <w:sz w:val="24"/>
                <w:szCs w:val="24"/>
                <w:highlight w:val="none"/>
                <w:lang w:val="ru-RU"/>
              </w:rPr>
              <w:t>184,7</w:t>
            </w:r>
          </w:p>
        </w:tc>
        <w:tc>
          <w:tcPr>
            <w:tcW w:w="1417" w:type="dxa"/>
          </w:tcPr>
          <w:p w14:paraId="4516D433">
            <w:pPr>
              <w:jc w:val="center"/>
              <w:rPr>
                <w:rFonts w:hint="default"/>
                <w:sz w:val="24"/>
                <w:szCs w:val="24"/>
                <w:highlight w:val="none"/>
                <w:lang w:val="ru-RU"/>
              </w:rPr>
            </w:pPr>
            <w:r>
              <w:rPr>
                <w:sz w:val="24"/>
                <w:szCs w:val="24"/>
                <w:highlight w:val="none"/>
              </w:rPr>
              <w:t>0</w:t>
            </w:r>
            <w:bookmarkStart w:id="0" w:name="_GoBack"/>
            <w:bookmarkEnd w:id="0"/>
            <w:r>
              <w:rPr>
                <w:sz w:val="24"/>
                <w:szCs w:val="24"/>
                <w:highlight w:val="none"/>
              </w:rPr>
              <w:t>,</w:t>
            </w:r>
            <w:r>
              <w:rPr>
                <w:rFonts w:hint="default"/>
                <w:sz w:val="24"/>
                <w:szCs w:val="24"/>
                <w:highlight w:val="none"/>
                <w:lang w:val="ru-RU"/>
              </w:rPr>
              <w:t>202</w:t>
            </w:r>
          </w:p>
        </w:tc>
      </w:tr>
    </w:tbl>
    <w:p w14:paraId="3F38BE46">
      <w:pPr>
        <w:jc w:val="both"/>
        <w:rPr>
          <w:b/>
        </w:rPr>
      </w:pPr>
    </w:p>
    <w:sectPr>
      <w:pgSz w:w="11906" w:h="16838"/>
      <w:pgMar w:top="993" w:right="850" w:bottom="1134" w:left="1701" w:header="709" w:footer="709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08"/>
  <w:drawingGridHorizontalSpacing w:val="120"/>
  <w:displayHorizontalDrawingGridEvery w:val="2"/>
  <w:displayVerticalDrawingGridEvery w:val="2"/>
  <w:noPunctuationKerning w:val="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F9C"/>
    <w:rsid w:val="00000690"/>
    <w:rsid w:val="000101A2"/>
    <w:rsid w:val="0001144C"/>
    <w:rsid w:val="00013C67"/>
    <w:rsid w:val="0002485F"/>
    <w:rsid w:val="0004776F"/>
    <w:rsid w:val="00056896"/>
    <w:rsid w:val="00074A1D"/>
    <w:rsid w:val="000A003E"/>
    <w:rsid w:val="000D4BB7"/>
    <w:rsid w:val="000D6D34"/>
    <w:rsid w:val="000E088E"/>
    <w:rsid w:val="000E6C98"/>
    <w:rsid w:val="000F00CB"/>
    <w:rsid w:val="000F6641"/>
    <w:rsid w:val="001263FC"/>
    <w:rsid w:val="001304D1"/>
    <w:rsid w:val="00130B84"/>
    <w:rsid w:val="0014487D"/>
    <w:rsid w:val="001474A9"/>
    <w:rsid w:val="00151C30"/>
    <w:rsid w:val="00151DBB"/>
    <w:rsid w:val="00167648"/>
    <w:rsid w:val="00174095"/>
    <w:rsid w:val="00197399"/>
    <w:rsid w:val="001B0752"/>
    <w:rsid w:val="001C1ABB"/>
    <w:rsid w:val="001E35C1"/>
    <w:rsid w:val="001F058C"/>
    <w:rsid w:val="0020365C"/>
    <w:rsid w:val="00207CAB"/>
    <w:rsid w:val="00212F5A"/>
    <w:rsid w:val="002154AF"/>
    <w:rsid w:val="002327C4"/>
    <w:rsid w:val="002704C5"/>
    <w:rsid w:val="002C4377"/>
    <w:rsid w:val="002D57AF"/>
    <w:rsid w:val="002E3807"/>
    <w:rsid w:val="002F65D0"/>
    <w:rsid w:val="00304873"/>
    <w:rsid w:val="00327443"/>
    <w:rsid w:val="00330244"/>
    <w:rsid w:val="00334675"/>
    <w:rsid w:val="003426B3"/>
    <w:rsid w:val="0035294D"/>
    <w:rsid w:val="00362497"/>
    <w:rsid w:val="00395C5B"/>
    <w:rsid w:val="003A6A83"/>
    <w:rsid w:val="003A7B70"/>
    <w:rsid w:val="003B10E6"/>
    <w:rsid w:val="003C6C54"/>
    <w:rsid w:val="003F4DE9"/>
    <w:rsid w:val="0040350F"/>
    <w:rsid w:val="00412340"/>
    <w:rsid w:val="00416BE2"/>
    <w:rsid w:val="0042169C"/>
    <w:rsid w:val="00445534"/>
    <w:rsid w:val="004517DE"/>
    <w:rsid w:val="00475ED7"/>
    <w:rsid w:val="00481B99"/>
    <w:rsid w:val="004878B2"/>
    <w:rsid w:val="0049167C"/>
    <w:rsid w:val="00495A2C"/>
    <w:rsid w:val="004A7E2D"/>
    <w:rsid w:val="004B2345"/>
    <w:rsid w:val="004B3AD0"/>
    <w:rsid w:val="004B5DCC"/>
    <w:rsid w:val="004D1D86"/>
    <w:rsid w:val="004F5C96"/>
    <w:rsid w:val="00501F9C"/>
    <w:rsid w:val="0052300C"/>
    <w:rsid w:val="00543BB7"/>
    <w:rsid w:val="005545C0"/>
    <w:rsid w:val="005567C0"/>
    <w:rsid w:val="00561B80"/>
    <w:rsid w:val="005A6D68"/>
    <w:rsid w:val="005B2BD3"/>
    <w:rsid w:val="005C5DB8"/>
    <w:rsid w:val="005F1B55"/>
    <w:rsid w:val="005F5F33"/>
    <w:rsid w:val="006133F3"/>
    <w:rsid w:val="0062096F"/>
    <w:rsid w:val="006233D9"/>
    <w:rsid w:val="00630DFA"/>
    <w:rsid w:val="00630FDD"/>
    <w:rsid w:val="006357D9"/>
    <w:rsid w:val="006670B5"/>
    <w:rsid w:val="00671174"/>
    <w:rsid w:val="00672B27"/>
    <w:rsid w:val="00690850"/>
    <w:rsid w:val="0069319E"/>
    <w:rsid w:val="006B3469"/>
    <w:rsid w:val="006B62F4"/>
    <w:rsid w:val="006D5F14"/>
    <w:rsid w:val="006E34CB"/>
    <w:rsid w:val="006F750F"/>
    <w:rsid w:val="006F7920"/>
    <w:rsid w:val="00701920"/>
    <w:rsid w:val="0071025F"/>
    <w:rsid w:val="0071175D"/>
    <w:rsid w:val="00725BC2"/>
    <w:rsid w:val="00743C08"/>
    <w:rsid w:val="007735F6"/>
    <w:rsid w:val="007824B9"/>
    <w:rsid w:val="00794939"/>
    <w:rsid w:val="007B2A23"/>
    <w:rsid w:val="007B7EA3"/>
    <w:rsid w:val="007E434A"/>
    <w:rsid w:val="007F5AF5"/>
    <w:rsid w:val="007F663C"/>
    <w:rsid w:val="008137D3"/>
    <w:rsid w:val="00817FC0"/>
    <w:rsid w:val="008328E9"/>
    <w:rsid w:val="00844061"/>
    <w:rsid w:val="0085455E"/>
    <w:rsid w:val="008579FA"/>
    <w:rsid w:val="008D1192"/>
    <w:rsid w:val="008D4A83"/>
    <w:rsid w:val="008E0F78"/>
    <w:rsid w:val="00906EEB"/>
    <w:rsid w:val="00932967"/>
    <w:rsid w:val="00935F18"/>
    <w:rsid w:val="00960734"/>
    <w:rsid w:val="009C76D2"/>
    <w:rsid w:val="009D5A7B"/>
    <w:rsid w:val="00A0297F"/>
    <w:rsid w:val="00A21BDF"/>
    <w:rsid w:val="00A22030"/>
    <w:rsid w:val="00A27504"/>
    <w:rsid w:val="00A30C1D"/>
    <w:rsid w:val="00A36F05"/>
    <w:rsid w:val="00A55C73"/>
    <w:rsid w:val="00A643FC"/>
    <w:rsid w:val="00A732A9"/>
    <w:rsid w:val="00A81320"/>
    <w:rsid w:val="00AA50C6"/>
    <w:rsid w:val="00AB2E99"/>
    <w:rsid w:val="00AE772C"/>
    <w:rsid w:val="00AF65C0"/>
    <w:rsid w:val="00B05B61"/>
    <w:rsid w:val="00B10F26"/>
    <w:rsid w:val="00B41D85"/>
    <w:rsid w:val="00B43FFA"/>
    <w:rsid w:val="00B53422"/>
    <w:rsid w:val="00B539A9"/>
    <w:rsid w:val="00B54E0C"/>
    <w:rsid w:val="00B70D32"/>
    <w:rsid w:val="00B76DC2"/>
    <w:rsid w:val="00B85283"/>
    <w:rsid w:val="00B86BCB"/>
    <w:rsid w:val="00B92DF1"/>
    <w:rsid w:val="00B96CAE"/>
    <w:rsid w:val="00BB1834"/>
    <w:rsid w:val="00BB5051"/>
    <w:rsid w:val="00BD4270"/>
    <w:rsid w:val="00C04849"/>
    <w:rsid w:val="00C375C4"/>
    <w:rsid w:val="00C424FA"/>
    <w:rsid w:val="00C5542D"/>
    <w:rsid w:val="00C63F7B"/>
    <w:rsid w:val="00C7039C"/>
    <w:rsid w:val="00C744A9"/>
    <w:rsid w:val="00C75D5B"/>
    <w:rsid w:val="00C76A3E"/>
    <w:rsid w:val="00C85697"/>
    <w:rsid w:val="00C85A06"/>
    <w:rsid w:val="00CD0FEF"/>
    <w:rsid w:val="00CD5A33"/>
    <w:rsid w:val="00D0191B"/>
    <w:rsid w:val="00D230CC"/>
    <w:rsid w:val="00D24F3A"/>
    <w:rsid w:val="00D327BC"/>
    <w:rsid w:val="00D355E0"/>
    <w:rsid w:val="00D54376"/>
    <w:rsid w:val="00D72955"/>
    <w:rsid w:val="00D73E2F"/>
    <w:rsid w:val="00D77B5A"/>
    <w:rsid w:val="00DA6C9E"/>
    <w:rsid w:val="00DB512B"/>
    <w:rsid w:val="00DB707F"/>
    <w:rsid w:val="00DB78C0"/>
    <w:rsid w:val="00DC053B"/>
    <w:rsid w:val="00DD05AC"/>
    <w:rsid w:val="00DD46EF"/>
    <w:rsid w:val="00DE06F5"/>
    <w:rsid w:val="00DF185D"/>
    <w:rsid w:val="00E02DC1"/>
    <w:rsid w:val="00E423CB"/>
    <w:rsid w:val="00E748EC"/>
    <w:rsid w:val="00E7793F"/>
    <w:rsid w:val="00E83796"/>
    <w:rsid w:val="00E91AF6"/>
    <w:rsid w:val="00EA5414"/>
    <w:rsid w:val="00EB4B83"/>
    <w:rsid w:val="00EB5EA9"/>
    <w:rsid w:val="00EC7984"/>
    <w:rsid w:val="00ED0312"/>
    <w:rsid w:val="00EF5F05"/>
    <w:rsid w:val="00F042FF"/>
    <w:rsid w:val="00F15D6A"/>
    <w:rsid w:val="00F26AC3"/>
    <w:rsid w:val="00F3132D"/>
    <w:rsid w:val="00F32C3B"/>
    <w:rsid w:val="00F3433F"/>
    <w:rsid w:val="00F50DEA"/>
    <w:rsid w:val="00F742A0"/>
    <w:rsid w:val="00F84CA8"/>
    <w:rsid w:val="00F852F1"/>
    <w:rsid w:val="00F90770"/>
    <w:rsid w:val="00F96011"/>
    <w:rsid w:val="00FA0536"/>
    <w:rsid w:val="00FB5094"/>
    <w:rsid w:val="00FC240A"/>
    <w:rsid w:val="00FE028B"/>
    <w:rsid w:val="00FE2F0E"/>
    <w:rsid w:val="71C20A69"/>
    <w:rsid w:val="78692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nhideWhenUsed="0" w:uiPriority="0" w:semiHidden="0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semiHidden/>
    <w:uiPriority w:val="0"/>
    <w:rPr>
      <w:rFonts w:ascii="Tahoma" w:hAnsi="Tahoma" w:cs="Tahoma"/>
      <w:sz w:val="16"/>
      <w:szCs w:val="16"/>
    </w:rPr>
  </w:style>
  <w:style w:type="paragraph" w:styleId="5">
    <w:name w:val="envelope return"/>
    <w:basedOn w:val="1"/>
    <w:uiPriority w:val="0"/>
    <w:rPr>
      <w:rFonts w:ascii="Arial" w:hAnsi="Arial" w:cs="Arial"/>
    </w:rPr>
  </w:style>
  <w:style w:type="paragraph" w:customStyle="1" w:styleId="6">
    <w:name w:val="FR2"/>
    <w:uiPriority w:val="0"/>
    <w:pPr>
      <w:widowControl w:val="0"/>
      <w:snapToGrid w:val="0"/>
      <w:ind w:left="3560"/>
    </w:pPr>
    <w:rPr>
      <w:rFonts w:ascii="Times New Roman" w:hAnsi="Times New Roman" w:eastAsia="Times New Roman" w:cs="Times New Roman"/>
      <w:b/>
      <w:lang w:val="ru-RU" w:eastAsia="ru-RU" w:bidi="ar-SA"/>
    </w:rPr>
  </w:style>
  <w:style w:type="paragraph" w:customStyle="1" w:styleId="7">
    <w:name w:val="FR1"/>
    <w:uiPriority w:val="0"/>
    <w:pPr>
      <w:widowControl w:val="0"/>
      <w:snapToGrid w:val="0"/>
      <w:spacing w:line="420" w:lineRule="auto"/>
      <w:ind w:left="2000"/>
      <w:jc w:val="center"/>
    </w:pPr>
    <w:rPr>
      <w:rFonts w:ascii="Times New Roman" w:hAnsi="Times New Roman" w:eastAsia="Times New Roman" w:cs="Times New Roman"/>
      <w:b/>
      <w:sz w:val="32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4CAE41-C152-4FE9-97E0-EE20DD2D98B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Добровольная</Company>
  <Pages>1</Pages>
  <Words>196</Words>
  <Characters>1123</Characters>
  <Lines>9</Lines>
  <Paragraphs>2</Paragraphs>
  <TotalTime>571</TotalTime>
  <ScaleCrop>false</ScaleCrop>
  <LinksUpToDate>false</LinksUpToDate>
  <CharactersWithSpaces>1317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2019-11-26T07:39:00Z</dcterms:created>
  <dc:creator>Грамотный User</dc:creator>
  <cp:lastModifiedBy>Валентина</cp:lastModifiedBy>
  <cp:lastPrinted>2025-02-13T07:27:00Z</cp:lastPrinted>
  <dcterms:modified xsi:type="dcterms:W3CDTF">2025-06-24T11:32:58Z</dcterms:modified>
  <dc:title>РЕСПУБЛИКА МОРДОВИЯ</dc:title>
  <cp:revision>52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1049-12.2.0.21546</vt:lpwstr>
  </property>
  <property fmtid="{D5CDD505-2E9C-101B-9397-08002B2CF9AE}" pid="3" name="ICV">
    <vt:lpwstr>D7BCC3C55D7A4A1E9F1DE38C30775DB6_12</vt:lpwstr>
  </property>
</Properties>
</file>