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Правление Социального фонда обсудило пенсионные изменения с 2025 года и замещение утраченного заработка пенсией</w:t>
      </w:r>
    </w:p>
    <w:p>
      <w:pPr>
        <w:pStyle w:val="Style14"/>
        <w:rPr/>
      </w:pPr>
      <w:r>
        <w:rPr/>
        <w:t>На прошедшем вчера в фонде заседании правления также поднимались вопросы инвестирования пенсионных накоплений и реабилитации работников с производственными травмами и профессиональными заболеваниями.</w:t>
        <w:br/>
        <w:t> </w:t>
        <w:br/>
        <w:t>Об изменениях, которые ждут россиян со следующего года по выплате пенсий, на заседании рассказала заместитель председателя Социального фонда (СФР) Марина Семёнова. Она отметила, что 2024 год был богат на принятые изменения в пенсионное законодательство. Одна из главных поправок касается возобновления индексации страховой пенсии работающим пенсионерам. Со следующего года их выплаты будут повышаться точно так же, как и у неработающих пенсионеров. Первая индексация по новым правилам пройдет для работающих пенсионеров в феврале следующего года. Рассчитывать размер повышения будут не по реально выплачиваемой пенсии, а по ее более высокому размеру, который учитывает все прошедшие индексации. Такой вариант, как было отмечено, позволит обеспечить более высокую прибавку к выплатам пенсионеров.</w:t>
        <w:br/>
        <w:t> </w:t>
        <w:br/>
        <w:t xml:space="preserve">Помимо этого, в текущем году одобрены изменения, согласно которым детям-инвалидам погибших участников СВО, предоставлено право получать вторую пенсию. Аналогичным правом теперь наделены инвалиды с детства первой и второй групп. Такие дети, оставшиеся без родителя, в зависимости от ситуации смогут получать одновременно два вида пенсии. Например, пенсию по потере кормильца и социальную пенсию по инвалидности. В дополнение к страховой пенсии по потере кормильца они также смогут получать государственную социальную пенсию по инвалидности. Семёнова добавила, что процесс обеспечения выплатами участников СВО и их семей находится на особом контроле фонда. </w:t>
        <w:br/>
        <w:t> </w:t>
        <w:br/>
        <w:t>Выступая на заседании, замглавы С</w:t>
      </w:r>
      <w:r>
        <w:rPr/>
        <w:t xml:space="preserve">оциального фонда России </w:t>
      </w:r>
      <w:r>
        <w:rPr/>
        <w:t>также напомнила, что со следующего года меняется институт компенсационных выплат ухаживающим за нетрудоспособными пенсионерами и людьми с инвалидностью. Согласно новому порядку, средства по уходу будут предоставлять не в качестве самостоятельной выплаты – как это происходит сегодня – а в качестве надбавки к пенсии. По аналогии назначения повышения к пенсии за северный стаж, работу на селе или, например, за родственников, которых содержит пенсионер. Подобные изменения позволят ежегодно повышать выплаты по уходу за счет механизма индексации, чего не было ранее.</w:t>
        <w:br/>
        <w:t> </w:t>
        <w:br/>
        <w:t xml:space="preserve">В ходе обсуждения также были затронуты вопросы замещения пенсией утраченного заработка. Заместитель начальника управления актуарных расчетов Соцфонда Светлана Донцова рассказала, что в 2018 году Россия ратифицировала 102-ю конвенцию Международной организации труда (МОТ). Документ предусматривает коэффициент замещения заработка суммой обеспечения, полагающегося типовому получателю, на уровне не менее 40%. По словам Донцовой, этот ориентир выполняется в России. Эксперт напомнила, что для подсчета коэффициента используется определенная конвенцией методология, а не простое соотношение средней пенсии к средней зарплате. </w:t>
        <w:br/>
        <w:t> </w:t>
        <w:br/>
        <w:t>Условия конвенции, пояснила Донцова, не допускают использования среднеарифметических показателей и расчеты на основе средних размеров пенсии или зарплаты. Согласно положениям конвенции МОТ, надлежащий уровень замещения утраченного заработка вместе с пенсией обеспечивают и другие выплаты, которые пенсионеры в обязательном порядке получают в России. Например, для пенсионера по инвалидности в составе суммы обеспечения наряду с пенсией учитывается ежемесячная денежная выплата, предоставляемая каждому инвалиду.</w:t>
        <w:br/>
        <w:t> </w:t>
        <w:br/>
        <w:t>На заседании также выступила заместитель председателя Социального фонда Наталья Сидорова. Она посвятила свой доклад вопросам медицинской, социальной и профессиональной реабилитации работников, получивших заболевания и травмы на производстве. О результатах инвестирования пенсионных накоплений в инвестиционные и инфраструктурные проекты реального сектора экономики на заседании рассказал Александр Попов, директор блока управления пенсионными накоплениями ВЭБ.РФ.</w:t>
      </w:r>
    </w:p>
    <w:p>
      <w:pPr>
        <w:pStyle w:val="Style14"/>
        <w:rPr/>
      </w:pPr>
      <w:r>
        <w:rPr/>
        <w:t>Напомним, что правление Социального фонда является коллегиальным органом управления, который участвует в проектировании бюджета С</w:t>
      </w:r>
      <w:r>
        <w:rPr/>
        <w:t>оциального фонда России</w:t>
      </w:r>
      <w:r>
        <w:rPr/>
        <w:t>, определении приоритетных направлений его развития, обсуждении страховых тарифов и других сферах деятельности. В состав правления, помимо руководства фонда, входят представители Минтруда, Минфина, Банка России, Госдумы и Совета Федерации. В правлении также участвуют представители профессиональных и общественных объединений. Заседания правления проходят несколько раз в год, на них обсуждаются актуальные вопросы и задачи, стоящие перед фондом.</w:t>
      </w:r>
    </w:p>
    <w:p>
      <w:pPr>
        <w:pStyle w:val="Style14"/>
        <w:spacing w:before="0" w:after="14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569</Words>
  <Characters>4013</Characters>
  <CharactersWithSpaces>4595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2024-09-27T09:54:16Z</dcterms:created>
  <dc:creator/>
  <dc:description/>
  <dc:language>ru-RU</dc:language>
  <cp:lastModifiedBy/>
  <dcterms:modified xsi:type="dcterms:W3CDTF">2024-09-27T09:55:30Z</dcterms:modified>
  <cp:revision>1</cp:revision>
  <dc:subject/>
  <dc:title/>
</cp:coreProperties>
</file>