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Доходы фонда в прошлом году составили 13,3 трлн рублей, расходы достигли почти 14 трлн рублей</w:t>
      </w:r>
    </w:p>
    <w:p>
      <w:pPr>
        <w:pStyle w:val="Style14"/>
        <w:rPr/>
      </w:pPr>
      <w:r>
        <w:rPr/>
        <w:t> </w:t>
      </w:r>
    </w:p>
    <w:p>
      <w:pPr>
        <w:pStyle w:val="Style14"/>
        <w:rPr/>
      </w:pPr>
      <w:r>
        <w:rPr/>
        <w:t xml:space="preserve">Выступая сегодня на заседании Государственной думы, глава Социального фонда </w:t>
        <w:br/>
        <w:t>(СФР) Сергей Чирков отметил, что бюджет за прошлый год исполнялся с учетом ряда особенностей. Это, прежде всего, обеспечение жителей новых субъектов России и введение с января 2023 года единого пособия - новой выплаты для семей с детьми. Другими особенностями стали социальные выплаты медицинским работникам и увеличение расходов на предоставление технических средств реабилитации.</w:t>
        <w:br/>
        <w:br/>
        <w:t>«Наибольшую часть всех поступлений в бюджет фонда составили страховые взносы. Их совокупный объем превысил 8,8 трлн рублей», – рассказал Сергей Чирков. На пенсионное страхование поступило 7,7 трлн рублей.</w:t>
        <w:br/>
        <w:br/>
        <w:t>Глава фонда сообщил, что расходы Социального фонда включают выплаты по 109 мерам поддержки, а всего за прошлый год ведомство оказало россиянам 139 млн услуг. Почти 10 трлн рублей при этом были направлены на пенсионное обеспечение. В общей сложности пенсии выплачены более чем 41 млн человек.</w:t>
        <w:br/>
        <w:br/>
        <w:t>Пособия по временной нетрудоспособности, включая больничные и декретные выплаты, получили 19,7 млн работающих россиян. На это направлено почти 483 млрд рублей.</w:t>
        <w:br/>
        <w:br/>
        <w:t>Общие расходы на государственную поддержку семей с детьми, по словам Сергея Чиркова, превысили 2 трлн рублей. «Больше половины этих средств выплачено в качестве единого пособия», – отметил глава фонда. В прошлом году выплату получили родители 10,9 млн детей до 17 лет и почти 400 тыс. беременных женщин. Сертификаты на материнский капитал оформлены для 924,3 тыс. семей. В течение года родители распорядились средствами на общую сумму 456 млрд рублей.</w:t>
        <w:br/>
        <w:br/>
        <w:t>Технические средства реабилитации получили свыше 1,1 млн людей с инвалидностью. На приобретение различных изделий, протезов, колясок и средств ухода фонд потратил 61,4 млрд рублей, включая 20,4 млрд рублей, поступивших в качестве дополнительного финансирования. Сергей Чирков отдельно поблагодарил депутатов за поддержку по этому вопросу.</w:t>
        <w:br/>
        <w:br/>
        <w:t>В течение прошлого года Социальный фонд обеспечил выплату в новых субъектах всех пенсий и мер социальной поддержки по российскому законодательству. Активно шла работа по интеграции новых регионов в федеральную систему социальной поддержки. Выплаты получили 2,5 млн человек на общую сумму более 204,4 млрд рублей. «Это пенсии, единое пособие, выплаты по больничным листам, пособия по несчастным случаям на производстве, предоставление различных льгот и компенсаций, – рассказал Чирков.</w:t>
        <w:br/>
        <w:br/>
        <w:t>Председатель С</w:t>
      </w:r>
      <w:r>
        <w:rPr/>
        <w:t xml:space="preserve">оциального фонда </w:t>
      </w:r>
      <w:r>
        <w:rPr/>
        <w:t>также подчеркнул, что в 2023 году Социальный фонд выполнил все мероприятия по повышению уровня пенсий и социальных выплат. С января страховые пенсии неработающих пенсионеров были проиндексированы на 4,8%. С учетом дополнительной индексации на 10% в июне 2022 года совокупное увеличение пенсий составило 15,3%. Это превысило инфляцию по итогам 2022 года на уровне 11,9%. Средний размер страховой пенсии по старости 37,1 млн человек увеличился на 1,2 тыс. рублей. К концу прошлого года он превысил 21 тыс. рублей. У неработающих получателей средний размер страховой пенсии по старости составил 21,8 тыс. рублей. С февраля на 11,9% увеличены размеры ежемесячной денежной выплаты 14,5 млн человек, а также размер материнского капитала и ряд других выплат, администрируемых фондом.</w:t>
        <w:br/>
        <w:br/>
        <w:t>По итогам заседания Государственная дума приняла законопроект об исполнении бюджета Социального фонда России за 2023 год.</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2</Pages>
  <Words>475</Words>
  <Characters>2937</Characters>
  <CharactersWithSpaces>3423</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2024-06-27T16:08:22Z</dcterms:created>
  <dc:creator/>
  <dc:description/>
  <dc:language>ru-RU</dc:language>
  <cp:lastModifiedBy/>
  <dcterms:modified xsi:type="dcterms:W3CDTF">2024-06-27T16:10:44Z</dcterms:modified>
  <cp:revision>1</cp:revision>
  <dc:subject/>
  <dc:title/>
</cp:coreProperties>
</file>