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Социальный фонд и ПСБ заключили соглашение о сотрудничестве</w:t>
      </w:r>
    </w:p>
    <w:p>
      <w:pPr>
        <w:pStyle w:val="Style15"/>
        <w:rPr/>
      </w:pPr>
      <w:r>
        <w:rPr/>
        <w:t>Председатель Социального фонда (СФР) Сергей Чирков и председатель П</w:t>
      </w:r>
      <w:r>
        <w:rPr/>
        <w:t>АО «Промсвязьбанк»(ПСБ)</w:t>
      </w:r>
      <w:r>
        <w:rPr/>
        <w:t xml:space="preserve"> Пётр Фрадков подписали соглашение о сотрудничестве. Оно поможет развивать финансовую грамотность россиян и улучшать предоставление госуслуг.</w:t>
      </w:r>
    </w:p>
    <w:p>
      <w:pPr>
        <w:pStyle w:val="Style15"/>
        <w:rPr/>
      </w:pPr>
      <w:r>
        <w:rPr/>
        <w:t>Стороны соглашения договорились проводить совместную разъяснительную работу среди граждан и обмениваться опытом по направлениям деятельности двух организаций. Планируются мероприятия по финансовой грамотности, включая консультирование по вопросам пенсий и социальных выплат.</w:t>
      </w:r>
    </w:p>
    <w:p>
      <w:pPr>
        <w:pStyle w:val="Style15"/>
        <w:rPr/>
      </w:pPr>
      <w:r>
        <w:rPr/>
        <w:t>«Соглашение о сотрудничестве между Социальным фондом и ПСБ открывает дополнительные возможности для реализации новых социальных проектов, – отметил глава Социального фонда России Сергей Чирков. – Достигнутые сегодня договоренности позволят улучшить доступ к финансовым услугам для многих российских граждан. У фонда накоплен значительный опыт по информационной работе с людьми разных возрастов, начиная со школьников и заканчивая старшим поколением. Мы рады участию ПСБ в этой инициативе».</w:t>
      </w:r>
    </w:p>
    <w:p>
      <w:pPr>
        <w:pStyle w:val="Style15"/>
        <w:rPr/>
      </w:pPr>
      <w:r>
        <w:rPr/>
        <w:t>Со своей стороны председатель ПСБ Пётр Фрадков рассказал, что банк много лет реализует комплексную программу развития финансовой и инвестиционной культуры граждан. «Разработанные банком обучающие программы нацелены на формирование правильных моделей финансового поведения людей, – заявил глава ПСБ. – Наши специалисты используют обширный обучающий инструментарий для различных категорий с учетом их профессиональных и возрастных особенностей».</w:t>
      </w:r>
    </w:p>
    <w:p>
      <w:pPr>
        <w:pStyle w:val="Style15"/>
        <w:rPr/>
      </w:pPr>
      <w:r>
        <w:rPr/>
        <w:t>В ходе подписания соглашения было отмечено, что ПСБ в сотрудничестве с Социальным фондом планирует масштабировать имеющийся опыт и реализовать задачу подготовки кадров в сфере финансового просвещения для работы с гражданами старшего поколения, а также с социально незащищенными группами населения, которые наиболее уязвимы в вопросах финансовой безопасности. «В условиях развития технологий необходимы специальные программы финансовой грамотности, которые усилят защиту таких людей от финансовых мошенников и помогут безопасно и эффективно управлять своими сбережениями», – сказал Пётр Фрадков.</w:t>
      </w:r>
    </w:p>
    <w:p>
      <w:pPr>
        <w:pStyle w:val="Style15"/>
        <w:rPr/>
      </w:pPr>
      <w:r>
        <w:rPr/>
        <w:t>Социальный фонд сотрудничает с ПСБ по разным направлениям. Отделения банка принимают заявления семей о распоряжении материнским капиталом на ипотеку. При оформлении выплат участникам СВО клиентские службы фонда подтверждают статус ветерана боевых действий по электронным удоствоверениям, выданным ПСБ. Жители новых субъектов получают безналичные выплаты Социального фонда на карты ПСБ, поскольку он является единственной кредитной организацией, работающей на территории Донецкой и Луганской республик, Запорожской и Херсонской областей.</w:t>
      </w:r>
    </w:p>
    <w:p>
      <w:pPr>
        <w:pStyle w:val="Style15"/>
        <w:rPr/>
      </w:pPr>
      <w:r>
        <w:rPr/>
      </w:r>
    </w:p>
    <w:p>
      <w:pPr>
        <w:pStyle w:val="Normal"/>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OpenSymbol">
    <w:altName w:val="Arial Unicode MS"/>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Mangal"/>
      <w:color w:val="00000A"/>
      <w:kern w:val="2"/>
      <w:sz w:val="24"/>
      <w:szCs w:val="24"/>
      <w:lang w:val="ru-RU" w:eastAsia="zh-CN" w:bidi="hi-IN"/>
    </w:rPr>
  </w:style>
  <w:style w:type="paragraph" w:styleId="1">
    <w:name w:val="Heading 1"/>
    <w:basedOn w:val="Style14"/>
    <w:qFormat/>
    <w:pPr>
      <w:spacing w:before="240" w:after="120"/>
      <w:outlineLvl w:val="0"/>
    </w:pPr>
    <w:rPr>
      <w:rFonts w:ascii="Liberation Serif" w:hAnsi="Liberation Serif" w:eastAsia="SimSun" w:cs="Mangal"/>
      <w:b/>
      <w:bCs/>
      <w:sz w:val="48"/>
      <w:szCs w:val="48"/>
    </w:rPr>
  </w:style>
  <w:style w:type="character" w:styleId="Style13">
    <w:name w:val="Маркеры списка"/>
    <w:qFormat/>
    <w:rPr>
      <w:rFonts w:ascii="OpenSymbol" w:hAnsi="OpenSymbol" w:eastAsia="OpenSymbol" w:cs="OpenSymbol"/>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1</Pages>
  <Words>317</Words>
  <Characters>2311</Characters>
  <CharactersWithSpaces>2626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2024-04-18T10:30:21Z</dcterms:created>
  <dc:creator/>
  <dc:description/>
  <dc:language>ru-RU</dc:language>
  <cp:lastModifiedBy/>
  <dcterms:modified xsi:type="dcterms:W3CDTF">2024-04-22T15:55:36Z</dcterms:modified>
  <cp:revision>2</cp:revision>
  <dc:subject/>
  <dc:title/>
</cp:coreProperties>
</file>