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принял участие в «Парламентском диалоге» Совета Федерации</w:t>
      </w:r>
    </w:p>
    <w:p>
      <w:pPr>
        <w:pStyle w:val="Style14"/>
        <w:rPr/>
      </w:pPr>
      <w:r>
        <w:rPr/>
        <w:t>Председатель Социального фонда (СФР) Сергей Чирков ответил на вопросы сенаторов и журналистов на прошедшем сегодня в Совете Федерации «Парламентском диалоге». Участники встречи задали главе С</w:t>
      </w:r>
      <w:r>
        <w:rPr/>
        <w:t>оциального фонда России</w:t>
      </w:r>
      <w:r>
        <w:rPr/>
        <w:t xml:space="preserve"> вопросы о работе объединенного фонда и формировании бюджета ведомства на следующий год. Кроме того, Сергей Чирков рассказал о предоставлении единого пособия на детей, инвестировании пенсионных накоплений, а также об упрощении процедур назначения пенсии по потере кормильца.</w:t>
      </w:r>
    </w:p>
    <w:p>
      <w:pPr>
        <w:pStyle w:val="Style14"/>
        <w:rPr/>
      </w:pPr>
      <w:r>
        <w:rPr/>
        <w:t xml:space="preserve">Отдельное внимание глава Социального фонда уделил вопросам проактивного оформления выплат. «Наша „фишка“ – это переход на беззаявительный формат обеспечения, когда фонд сам назначает выплаты на основании поступающих данных, а человеку при этом не нужно ничего делать, – рассказал Сергей Чирков. – Мы активно развиваем это направление работы. Уже принят закон, и со следующего года проактивно будем назначать пенсии по потере кормильца, надбавки за северный стаж. С 2026 года в такой формат переведем назначение надбавок к пенсии за сельский стаж». </w:t>
        <w:br/>
        <w:br/>
        <w:t>Также со следующего года, по словам Чиркова, стартует пилотный проект, в ходе которого будет тестироваться механизм проактивного назначения пособий в связи с профессиональными заболеваниями и несчастными случаями на производстве.</w:t>
      </w:r>
    </w:p>
    <w:p>
      <w:pPr>
        <w:pStyle w:val="Style14"/>
        <w:rPr/>
      </w:pPr>
      <w:r>
        <w:rPr/>
        <w:t>Отдельным блоком разговора стало социальное обеспечение жителей новых субъектов России и участников специальной военной операции. «Совет Федерации держит на особом контроле вопросы, связанные с обеспечением наших бойцов техническими средствами реабилитации и самой процедурой реабилитации», – отметила модератор дискуссии, заместитель председателя Совета Федерации Инна Святенко.</w:t>
      </w:r>
    </w:p>
    <w:p>
      <w:pPr>
        <w:pStyle w:val="Style14"/>
        <w:rPr/>
      </w:pPr>
      <w:r>
        <w:rPr/>
        <w:t>По словам Чиркова, на обеспечение техническими средствами реабилитации граждан с инвалидностью в этом году было выделено дополнительное финансирование в размере 17 млрд рублей. Эти средства помогли закрыть задолженность по ТСР за предыдущие годы и удовлетворить, в том числе, текущие заявки на протезы для участников спецоперации.</w:t>
        <w:br/>
        <w:br/>
        <w:t>В следующему году в бюджете Социального фонда заложено 55,8 млрд рублей на обеспечение средствами реабилитации, что позволит эффективно решать вопросы обеспечения бойцов протезами, отметил председатель С</w:t>
      </w:r>
      <w:r>
        <w:rPr/>
        <w:t>оциального фонда</w:t>
      </w:r>
      <w:r>
        <w:rPr/>
        <w:t>. «Помощь ребятам, которые возвращаются с фронта, является нашим приоритетом. Социальный фонд сделает все, чтобы они чувствовали заботу государства», – подчеркнул Сергей Чирков.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313</Words>
  <Characters>2129</Characters>
  <CharactersWithSpaces>2445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2023-10-18T11:31:14Z</dcterms:created>
  <dc:creator/>
  <dc:description/>
  <dc:language>ru-RU</dc:language>
  <cp:lastModifiedBy/>
  <dcterms:modified xsi:type="dcterms:W3CDTF">2023-10-18T11:33:15Z</dcterms:modified>
  <cp:revision>1</cp:revision>
  <dc:subject/>
  <dc:title/>
</cp:coreProperties>
</file>