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Более 840 тысяч семей улучшили жилищные условия через кредитные кооперативы за счет маткапитала</w:t>
      </w:r>
    </w:p>
    <w:p>
      <w:pPr>
        <w:pStyle w:val="Style14"/>
        <w:rPr/>
      </w:pPr>
      <w:r>
        <w:rPr/>
        <w:t xml:space="preserve"> </w:t>
      </w:r>
    </w:p>
    <w:p>
      <w:pPr>
        <w:pStyle w:val="Style14"/>
        <w:rPr/>
      </w:pPr>
      <w:r>
        <w:rPr/>
        <w:t>За время действия программы материнского капитала 841,5 тыс. семей направили его средства на строительство или покупку жилья через кредитные потребительские кооперативы. 28,2 тыс. семей при этом воспользовались услугами сельскохозяйственных кооперативов. Всего по данному виду распоряжения Социальный фонд перечислил почти 390 млрд рублей.</w:t>
      </w:r>
    </w:p>
    <w:p>
      <w:pPr>
        <w:pStyle w:val="Style14"/>
        <w:rPr/>
      </w:pPr>
      <w:r>
        <w:rPr/>
        <w:t>Возможность направлять средства сертификата на погашение займов на приобретение жилья закреплена условиями программы материнского капитала. Так, семьи могут вступить в выбранный кооператив, взять кредит на покупку жилья и затем погашать его. Помимо этого, также предусмотрена возможность строительства жилья на средства материнского капитала с использованием кредитных средств.</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104</Words>
  <Characters>740</Characters>
  <CharactersWithSpaces>841</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2023-05-25T16:41:16Z</dcterms:created>
  <dc:creator/>
  <dc:description/>
  <dc:language>ru-RU</dc:language>
  <cp:lastModifiedBy/>
  <dcterms:modified xsi:type="dcterms:W3CDTF">2023-05-25T16:42:34Z</dcterms:modified>
  <cp:revision>1</cp:revision>
  <dc:subject/>
  <dc:title/>
</cp:coreProperties>
</file>