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CC1" w:rsidRDefault="006A14DA">
      <w:pPr>
        <w:spacing w:before="120" w:after="120" w:line="240" w:lineRule="auto"/>
        <w:ind w:left="-709"/>
        <w:rPr>
          <w:rFonts w:ascii="Arial" w:hAnsi="Arial"/>
          <w:sz w:val="24"/>
        </w:rPr>
      </w:pPr>
      <w:r w:rsidRPr="006A14DA">
        <w:rPr>
          <w:rFonts w:ascii="Arial" w:hAnsi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icture 8" o:spid="_x0000_s1026" type="#_x0000_t202" style="position:absolute;left:0;text-align:left;margin-left:-32.15pt;margin-top:13.35pt;width:158.55pt;height:40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" filled="f" stroked="f" strokeweight=".5pt">
            <v:textbox>
              <w:txbxContent>
                <w:p w:rsidR="00813CC1" w:rsidRDefault="00A24190">
                  <w:pPr>
                    <w:rPr>
                      <w:rFonts w:ascii="Arial" w:hAnsi="Arial"/>
                      <w:sz w:val="18"/>
                    </w:rPr>
                  </w:pPr>
                  <w:r>
                    <w:rPr>
                      <w:rFonts w:ascii="Arial" w:hAnsi="Arial"/>
                      <w:sz w:val="18"/>
                    </w:rPr>
                    <w:t>2</w:t>
                  </w:r>
                  <w:r w:rsidR="00C84BAB">
                    <w:rPr>
                      <w:rFonts w:ascii="Arial" w:hAnsi="Arial"/>
                      <w:sz w:val="18"/>
                      <w:lang w:val="en-US"/>
                    </w:rPr>
                    <w:t>4</w:t>
                  </w:r>
                  <w:r>
                    <w:rPr>
                      <w:rFonts w:ascii="Arial" w:hAnsi="Arial"/>
                      <w:sz w:val="18"/>
                    </w:rPr>
                    <w:t>.03.2022</w:t>
                  </w:r>
                </w:p>
              </w:txbxContent>
            </v:textbox>
          </v:shape>
        </w:pict>
      </w:r>
    </w:p>
    <w:p w:rsidR="00813CC1" w:rsidRDefault="00A24190">
      <w:pPr>
        <w:spacing w:before="120" w:after="0"/>
        <w:jc w:val="center"/>
        <w:rPr>
          <w:rFonts w:ascii="Arial" w:hAnsi="Arial"/>
          <w:b/>
          <w:color w:val="348C41"/>
          <w:sz w:val="28"/>
        </w:rPr>
      </w:pPr>
      <w:r>
        <w:rPr>
          <w:rFonts w:ascii="Arial" w:hAnsi="Arial"/>
          <w:b/>
          <w:color w:val="348C41"/>
          <w:sz w:val="28"/>
        </w:rPr>
        <w:t>Пресс-релиз</w:t>
      </w:r>
    </w:p>
    <w:p w:rsidR="00813CC1" w:rsidRPr="00732F5E" w:rsidRDefault="00A24190">
      <w:pPr>
        <w:spacing w:before="120" w:after="0"/>
        <w:jc w:val="center"/>
        <w:rPr>
          <w:rFonts w:ascii="Arial" w:hAnsi="Arial"/>
          <w:b/>
          <w:color w:val="348C41"/>
        </w:rPr>
      </w:pPr>
      <w:r>
        <w:rPr>
          <w:rFonts w:ascii="Arial" w:hAnsi="Arial"/>
          <w:b/>
          <w:color w:val="348C41"/>
          <w:sz w:val="28"/>
        </w:rPr>
        <w:t>ОТ КОЛИЧЕСТВА К КАЧЕСТВУ. ЭКСПЕРТЫ ПРОАНАЛИЗИРОВАЛИ ОПЕРАТИВНЫЕ ИТОГИ СЕЛЬХОЗМИКРОПЕРЕПИСИ</w:t>
      </w:r>
      <w:r>
        <w:rPr>
          <w:rFonts w:ascii="Arial" w:hAnsi="Arial"/>
          <w:b/>
          <w:color w:val="348C41"/>
          <w:sz w:val="28"/>
        </w:rPr>
        <w:br/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Благодаря политике импортозамещения российский агробизнес получил стимулы к развитию и вышел на новый качественный уровень. К такому выводу пришли эксперты, проанализировав первые оперативные итоги сельхозмикропереписи 2021</w:t>
      </w:r>
      <w:r w:rsidR="003F2A35">
        <w:rPr>
          <w:rFonts w:ascii="Times New Roman" w:hAnsi="Times New Roman"/>
          <w:b/>
          <w:i/>
          <w:sz w:val="24"/>
        </w:rPr>
        <w:t> </w:t>
      </w:r>
      <w:r>
        <w:rPr>
          <w:rFonts w:ascii="Times New Roman" w:hAnsi="Times New Roman"/>
          <w:b/>
          <w:i/>
          <w:sz w:val="24"/>
        </w:rPr>
        <w:t>года.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Первая в истории страны сельскохозяйственная микроперепись прошла в России в августе 2021 года. Она охватила все сельхозпредприятия, некоммерческие товарищества, крестьянские (фермерские) хозяйства, индивидуальных предпринимателей, а также значительную часть личных подсобных хозяйств. Согласно оперативной оценке Росстата, в общей сложности в микропереписи приняло участие без малого 17 млн сельхозпроизводителей.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Представленные Росстатом в декабре 2021 года первые оперативные итоги сельхозмикропереписи свидетельствуют о существенных структурных сдвигах в сельскохозяйственном производстве России. Одна из основных и наиболее очевидных тенденций – укрупнение, которое выражается в уменьшении числа сельхозпроизводителей при одновременном увеличении площади используемых ими земель.</w:t>
      </w:r>
    </w:p>
    <w:p w:rsidR="00813CC1" w:rsidRDefault="00F06A22" w:rsidP="00F06A22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C</w:t>
      </w:r>
      <w:r>
        <w:rPr>
          <w:rFonts w:ascii="Times New Roman" w:hAnsi="Times New Roman"/>
          <w:sz w:val="24"/>
        </w:rPr>
        <w:t xml:space="preserve"> момента Всероссийской сельскохозяйственной переписи 2016 года</w:t>
      </w:r>
      <w:r w:rsidR="00E42FE2" w:rsidRPr="00E42FE2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н</w:t>
      </w:r>
      <w:r w:rsidR="00A24190">
        <w:rPr>
          <w:rFonts w:ascii="Times New Roman" w:hAnsi="Times New Roman"/>
          <w:sz w:val="24"/>
        </w:rPr>
        <w:t xml:space="preserve">аиболее существенный рост </w:t>
      </w:r>
      <w:r>
        <w:rPr>
          <w:rFonts w:ascii="Times New Roman" w:hAnsi="Times New Roman"/>
          <w:sz w:val="24"/>
        </w:rPr>
        <w:t xml:space="preserve">площади используемых сельскохозяйственных угодий на одно хозяйство </w:t>
      </w:r>
      <w:r w:rsidR="00A24190">
        <w:rPr>
          <w:rFonts w:ascii="Times New Roman" w:hAnsi="Times New Roman"/>
          <w:sz w:val="24"/>
        </w:rPr>
        <w:t xml:space="preserve">отмечен в категории крестьянских (фермерских) хозяйств и индивидуальных предпринимателей – </w:t>
      </w:r>
      <w:r w:rsidR="007E1472">
        <w:rPr>
          <w:rFonts w:ascii="Times New Roman" w:hAnsi="Times New Roman"/>
          <w:sz w:val="24"/>
        </w:rPr>
        <w:t xml:space="preserve">в </w:t>
      </w:r>
      <w:r w:rsidR="00155D68">
        <w:rPr>
          <w:rFonts w:ascii="Times New Roman" w:hAnsi="Times New Roman"/>
          <w:sz w:val="24"/>
        </w:rPr>
        <w:t>2 раза, в</w:t>
      </w:r>
      <w:r w:rsidR="00A24190">
        <w:rPr>
          <w:rFonts w:ascii="Times New Roman" w:hAnsi="Times New Roman"/>
          <w:sz w:val="24"/>
        </w:rPr>
        <w:t xml:space="preserve"> категори</w:t>
      </w:r>
      <w:r w:rsidR="00155D68">
        <w:rPr>
          <w:rFonts w:ascii="Times New Roman" w:hAnsi="Times New Roman"/>
          <w:sz w:val="24"/>
        </w:rPr>
        <w:t>и</w:t>
      </w:r>
      <w:r w:rsidR="00A24190">
        <w:rPr>
          <w:rFonts w:ascii="Times New Roman" w:hAnsi="Times New Roman"/>
          <w:sz w:val="24"/>
        </w:rPr>
        <w:t xml:space="preserve"> сельхозпредприятий – </w:t>
      </w:r>
      <w:r w:rsidR="00155D68">
        <w:rPr>
          <w:rFonts w:ascii="Times New Roman" w:hAnsi="Times New Roman"/>
          <w:sz w:val="24"/>
        </w:rPr>
        <w:t>в 1,4 раза.</w:t>
      </w:r>
    </w:p>
    <w:p w:rsidR="00F06A22" w:rsidRDefault="00F06A22" w:rsidP="00F06A22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этом фоне сокращение числа сельхозпроизводителей в категории сельхозпредприятий составило 4,7%, в категории крестьянских (фермерских) хозяйств и индивидуальных предпринимателей – 41,9%.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Количество КФХ и индивидуальных предпринимателей уменьшилось, но они перешли в качество, отмечает </w:t>
      </w:r>
      <w:r w:rsidRPr="00732F5E">
        <w:rPr>
          <w:rFonts w:ascii="Times New Roman" w:hAnsi="Times New Roman"/>
          <w:b/>
          <w:sz w:val="24"/>
        </w:rPr>
        <w:t>Денис Жильцов</w:t>
      </w:r>
      <w:r>
        <w:rPr>
          <w:rFonts w:ascii="Times New Roman" w:hAnsi="Times New Roman"/>
          <w:sz w:val="24"/>
        </w:rPr>
        <w:t>, к.э.н., доцент Департамента логистики и маркетинга Финансового университета при Правительстве РФ.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«За последние несколько лет изменилось оснащение малых сельхозпредприятий, развитие получили семейные хозяйства, многие российские индивидуальные </w:t>
      </w:r>
      <w:r>
        <w:rPr>
          <w:rFonts w:ascii="Times New Roman" w:hAnsi="Times New Roman"/>
          <w:sz w:val="24"/>
        </w:rPr>
        <w:lastRenderedPageBreak/>
        <w:t>предприниматели на селе открыли модульные мини-заводы по переработке молока, рыбы, выпечке хлеба, убою скота и т.п. Связано это, прежде всего, с государственной поддержкой кредитования от Минсельхоза России», – уверен Денис Жильцов.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 реализаций правительством мер государственной поддержки АПК связывает тенденцию к укрупнению бизнеса в этой сфере и </w:t>
      </w:r>
      <w:r w:rsidRPr="00732F5E">
        <w:rPr>
          <w:rFonts w:ascii="Times New Roman" w:hAnsi="Times New Roman"/>
          <w:b/>
          <w:sz w:val="24"/>
        </w:rPr>
        <w:t>Дмитрий Завьялов</w:t>
      </w:r>
      <w:r>
        <w:rPr>
          <w:rFonts w:ascii="Times New Roman" w:hAnsi="Times New Roman"/>
          <w:sz w:val="24"/>
        </w:rPr>
        <w:t>, завкафедры предпринимательства и логистики РЭУ им Г. В. Плеханова.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«В целом результат переписи отражает общую тенденцию последних лет – благодаря политике импортозамещения и ориентации на экспорт агробизнес получил стимулы к развитию, но акцент был сделан, в основном, на крупных игроков. Потребность в быстром наполнении рынка требовала инвестиций, которые мелкие игроки просто не могли себе позволить, не говоря уже о том, что и масштабного быстрого эффекта в этом случае могло не произойти. Таким образом, укрупнение бизнеса стало результатом сложившейся конъюнктуры, и результат микропереписи это достаточно хорошо демонстрирует», – говорит эксперт.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Согласно данным Ассоциации «Теплицы России», за последние пять лет в рамках программы импортозамещения тепличное производство овощей приблизилось к полному обеспечению россиян овощами даже во внесезонный период. Так, объем производимых в России огурцов и салатов практически полностью покрывает нужды населения, а импортозамещение томатов реализовано на 60–70%. В среднем к 2021 году уровень самообеспеченности тепличной продукции в стране вырос до 75%.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Тенденция укрупнения бизнеса в сельском хозяйстве наметилась сразу после вступления России в ВТО, напоминает Дарья Швандар, к.э.н., доцент департамента логистики и маркетинга Финансового университета при Правительстве РФ. 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«Выдержать мощную конкуренцию на мировом рынке могут только крупные и сильные хозяйства. Государство поддерживает это направление, всячески способствует объединению фермеров в корпоративные структуры, отраслевые союзы, ассоциации, кооперативы. Соответственно, растет общая площадь угодий на одну сельхозорганизацию», – констатирует Дарья Швандар.</w:t>
      </w:r>
    </w:p>
    <w:p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Следующим важным этапом развития отечественного АПК эксперты видят не просто наращивание объемов производства, а повышение качества продукции и сдерживание продуктовой инфляции. </w:t>
      </w:r>
    </w:p>
    <w:p w:rsidR="00813CC1" w:rsidRDefault="00A24190" w:rsidP="00AD59A1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«Здесь может помочь только внутренняя конкуренция, причем с участием не столько крупных игроков, а малого и среднего аграрного предпринимательства. Необходимо стимулировать кооперацию и интеграцию между различными сельхозпроизводителями, обеспечивая малому бизнесу доступ к инфраструктуре и активно вовлекая их в производственный цикл, в т.ч. в рамках глобальных цепочек поставок», – констатирует Дмитрий Завьялов.</w:t>
      </w:r>
    </w:p>
    <w:sectPr w:rsidR="00813CC1" w:rsidSect="006A14D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851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230" w:rsidRDefault="00007230">
      <w:pPr>
        <w:spacing w:after="0" w:line="240" w:lineRule="auto"/>
      </w:pPr>
      <w:r>
        <w:separator/>
      </w:r>
    </w:p>
  </w:endnote>
  <w:endnote w:type="continuationSeparator" w:id="1">
    <w:p w:rsidR="00007230" w:rsidRDefault="00007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C1" w:rsidRDefault="006A14DA">
    <w:pPr>
      <w:framePr w:wrap="around" w:vAnchor="text" w:hAnchor="margin" w:xAlign="right" w:y="1"/>
    </w:pPr>
    <w:r>
      <w:fldChar w:fldCharType="begin"/>
    </w:r>
    <w:r w:rsidR="00A24190">
      <w:instrText xml:space="preserve">PAGE </w:instrText>
    </w:r>
    <w:r>
      <w:fldChar w:fldCharType="separate"/>
    </w:r>
    <w:r w:rsidR="00E42FE2">
      <w:rPr>
        <w:noProof/>
      </w:rPr>
      <w:t>2</w:t>
    </w:r>
    <w:r>
      <w:fldChar w:fldCharType="end"/>
    </w:r>
  </w:p>
  <w:p w:rsidR="00813CC1" w:rsidRDefault="00813CC1">
    <w:pPr>
      <w:pStyle w:val="a3"/>
      <w:jc w:val="right"/>
    </w:pPr>
  </w:p>
  <w:p w:rsidR="00813CC1" w:rsidRDefault="006A14DA">
    <w:pPr>
      <w:pStyle w:val="a3"/>
      <w:jc w:val="right"/>
    </w:pPr>
    <w:r w:rsidRPr="006A14DA">
      <w:rPr>
        <w:rFonts w:ascii="Arial" w:hAnsi="Arial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icture 5" o:spid="_x0000_s2049" type="#_x0000_t202" style="position:absolute;left:0;text-align:left;margin-left:-71.3pt;margin-top:14.3pt;width:158.55pt;height:23.15pt;z-index:2516587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" filled="f" stroked="f" strokeweight=".5pt">
          <v:textbox>
            <w:txbxContent>
              <w:p w:rsidR="00813CC1" w:rsidRDefault="00A24190">
                <w:pPr>
                  <w:jc w:val="center"/>
                  <w:rPr>
                    <w:rFonts w:ascii="Arial" w:hAnsi="Arial"/>
                    <w:b/>
                    <w:color w:val="348C41"/>
                    <w:sz w:val="20"/>
                  </w:rPr>
                </w:pPr>
                <w:r>
                  <w:rPr>
                    <w:rFonts w:ascii="Arial" w:hAnsi="Arial"/>
                    <w:b/>
                    <w:color w:val="348C41"/>
                    <w:sz w:val="20"/>
                  </w:rPr>
                  <w:t>info@selhozmp.press</w:t>
                </w:r>
              </w:p>
            </w:txbxContent>
          </v:textbox>
          <w10:wrap anchorx="margin"/>
        </v:shape>
      </w:pict>
    </w:r>
  </w:p>
  <w:p w:rsidR="00813CC1" w:rsidRDefault="00813CC1">
    <w:pPr>
      <w:pStyle w:val="a3"/>
      <w:jc w:val="right"/>
      <w:rPr>
        <w:b/>
        <w:color w:val="348C41"/>
        <w:sz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C1" w:rsidRDefault="00813CC1">
    <w:pPr>
      <w:pStyle w:val="a3"/>
    </w:pPr>
  </w:p>
  <w:p w:rsidR="00813CC1" w:rsidRDefault="00813CC1">
    <w:pPr>
      <w:pStyle w:val="a3"/>
    </w:pPr>
  </w:p>
  <w:p w:rsidR="00813CC1" w:rsidRDefault="00813CC1">
    <w:pPr>
      <w:pStyle w:val="a3"/>
    </w:pPr>
  </w:p>
  <w:p w:rsidR="00813CC1" w:rsidRDefault="00813CC1">
    <w:pPr>
      <w:pStyle w:val="a3"/>
    </w:pPr>
  </w:p>
  <w:p w:rsidR="00813CC1" w:rsidRDefault="00813CC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230" w:rsidRDefault="00007230">
      <w:pPr>
        <w:spacing w:after="0" w:line="240" w:lineRule="auto"/>
      </w:pPr>
      <w:r>
        <w:separator/>
      </w:r>
    </w:p>
  </w:footnote>
  <w:footnote w:type="continuationSeparator" w:id="1">
    <w:p w:rsidR="00007230" w:rsidRDefault="00007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C1" w:rsidRDefault="00A24190">
    <w:pPr>
      <w:pStyle w:val="a5"/>
      <w:rPr>
        <w:b/>
        <w:color w:val="348C41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page">
            <wp:align>left</wp:align>
          </wp:positionH>
          <wp:positionV relativeFrom="page">
            <wp:posOffset>-174929</wp:posOffset>
          </wp:positionV>
          <wp:extent cx="7592400" cy="10742400"/>
          <wp:effectExtent l="0" t="0" r="0" b="0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A14DA">
      <w:rPr>
        <w:b/>
        <w:noProof/>
        <w:color w:val="348C41"/>
      </w:rPr>
      <w:pict>
        <v:rect id="Picture 3" o:spid="_x0000_s2051" style="position:absolute;margin-left:-20.75pt;margin-top:3.35pt;width:6.9pt;height:20.65pt;z-index:251656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" fillcolor="#f3c716" stroked="f"/>
      </w:pict>
    </w:r>
    <w:r w:rsidR="006A14DA">
      <w:rPr>
        <w:b/>
        <w:noProof/>
        <w:color w:val="348C41"/>
      </w:rPr>
      <w:pict>
        <v:rect id="Picture 4" o:spid="_x0000_s2050" style="position:absolute;margin-left:-43.75pt;margin-top:3.35pt;width:20.65pt;height:20.65pt;z-index:251657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" fillcolor="#348c41" stroked="f"/>
      </w:pict>
    </w:r>
    <w:r>
      <w:rPr>
        <w:b/>
        <w:color w:val="348C41"/>
      </w:rPr>
      <w:t>СЕЛЬСКОХОЗЯЙСТВЕННАЯ МИКРОПЕРЕПИСЬ</w:t>
    </w: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813CC1">
    <w:pPr>
      <w:pStyle w:val="a5"/>
    </w:pPr>
  </w:p>
  <w:p w:rsidR="00813CC1" w:rsidRDefault="00A24190">
    <w:pPr>
      <w:pStyle w:val="a5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2400" cy="10742400"/>
          <wp:effectExtent l="0" t="0" r="0" b="0"/>
          <wp:wrapNone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13CC1"/>
    <w:rsid w:val="00007230"/>
    <w:rsid w:val="00032159"/>
    <w:rsid w:val="00155D68"/>
    <w:rsid w:val="00193AAF"/>
    <w:rsid w:val="001962A5"/>
    <w:rsid w:val="003F2A35"/>
    <w:rsid w:val="005A7C01"/>
    <w:rsid w:val="006A14DA"/>
    <w:rsid w:val="00732F5E"/>
    <w:rsid w:val="007E1472"/>
    <w:rsid w:val="00813CC1"/>
    <w:rsid w:val="00856972"/>
    <w:rsid w:val="00A076F8"/>
    <w:rsid w:val="00A24190"/>
    <w:rsid w:val="00A62E4D"/>
    <w:rsid w:val="00AD59A1"/>
    <w:rsid w:val="00B01AAB"/>
    <w:rsid w:val="00C46EAF"/>
    <w:rsid w:val="00C84BAB"/>
    <w:rsid w:val="00E42FE2"/>
    <w:rsid w:val="00E51527"/>
    <w:rsid w:val="00EF0888"/>
    <w:rsid w:val="00F03C79"/>
    <w:rsid w:val="00F06A22"/>
    <w:rsid w:val="00F34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A14DA"/>
  </w:style>
  <w:style w:type="paragraph" w:styleId="10">
    <w:name w:val="heading 1"/>
    <w:next w:val="a"/>
    <w:link w:val="11"/>
    <w:uiPriority w:val="9"/>
    <w:qFormat/>
    <w:rsid w:val="006A14D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A14D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6A14D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6A14D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A14D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A14DA"/>
  </w:style>
  <w:style w:type="paragraph" w:styleId="21">
    <w:name w:val="toc 2"/>
    <w:next w:val="a"/>
    <w:link w:val="22"/>
    <w:uiPriority w:val="39"/>
    <w:rsid w:val="006A14D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A14D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A14D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A14D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A14D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A14D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A14D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A14DA"/>
    <w:rPr>
      <w:rFonts w:ascii="XO Thames" w:hAnsi="XO Thames"/>
      <w:sz w:val="28"/>
    </w:rPr>
  </w:style>
  <w:style w:type="paragraph" w:styleId="a3">
    <w:name w:val="footer"/>
    <w:basedOn w:val="a"/>
    <w:link w:val="a4"/>
    <w:rsid w:val="006A1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  <w:rsid w:val="006A14DA"/>
  </w:style>
  <w:style w:type="character" w:customStyle="1" w:styleId="30">
    <w:name w:val="Заголовок 3 Знак"/>
    <w:link w:val="3"/>
    <w:rsid w:val="006A14DA"/>
    <w:rPr>
      <w:rFonts w:ascii="XO Thames" w:hAnsi="XO Thames"/>
      <w:b/>
      <w:sz w:val="26"/>
    </w:rPr>
  </w:style>
  <w:style w:type="paragraph" w:styleId="a5">
    <w:name w:val="header"/>
    <w:basedOn w:val="a"/>
    <w:link w:val="a6"/>
    <w:rsid w:val="006A1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  <w:rsid w:val="006A14DA"/>
  </w:style>
  <w:style w:type="paragraph" w:styleId="a7">
    <w:name w:val="Balloon Text"/>
    <w:basedOn w:val="a"/>
    <w:link w:val="a8"/>
    <w:rsid w:val="006A14DA"/>
    <w:pPr>
      <w:spacing w:after="0"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sid w:val="006A14DA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rsid w:val="006A14D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A14DA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A14D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A14DA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9"/>
    <w:rsid w:val="006A14DA"/>
    <w:rPr>
      <w:color w:val="0563C1" w:themeColor="hyperlink"/>
      <w:u w:val="single"/>
    </w:rPr>
  </w:style>
  <w:style w:type="character" w:styleId="a9">
    <w:name w:val="Hyperlink"/>
    <w:basedOn w:val="a0"/>
    <w:link w:val="12"/>
    <w:rsid w:val="006A14DA"/>
    <w:rPr>
      <w:color w:val="0563C1" w:themeColor="hyperlink"/>
      <w:u w:val="single"/>
    </w:rPr>
  </w:style>
  <w:style w:type="paragraph" w:customStyle="1" w:styleId="Footnote">
    <w:name w:val="Footnote"/>
    <w:link w:val="Footnote0"/>
    <w:rsid w:val="006A14D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6A14D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A14D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6A14D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A14D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A14D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A14D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A14D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A14D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A14D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A14D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A14DA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6A14DA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6A14DA"/>
    <w:rPr>
      <w:rFonts w:ascii="XO Thames" w:hAnsi="XO Thames"/>
      <w:i/>
      <w:sz w:val="24"/>
    </w:rPr>
  </w:style>
  <w:style w:type="paragraph" w:customStyle="1" w:styleId="13">
    <w:name w:val="Основной шрифт абзаца1"/>
    <w:rsid w:val="006A14DA"/>
  </w:style>
  <w:style w:type="paragraph" w:styleId="ac">
    <w:name w:val="Title"/>
    <w:next w:val="a"/>
    <w:link w:val="ad"/>
    <w:uiPriority w:val="10"/>
    <w:qFormat/>
    <w:rsid w:val="006A14D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6A14D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A14D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A14DA"/>
    <w:rPr>
      <w:rFonts w:ascii="XO Thames" w:hAnsi="XO Thames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Kazik</dc:creator>
  <cp:lastModifiedBy>rcUser</cp:lastModifiedBy>
  <cp:revision>5</cp:revision>
  <dcterms:created xsi:type="dcterms:W3CDTF">2022-03-23T07:21:00Z</dcterms:created>
  <dcterms:modified xsi:type="dcterms:W3CDTF">2022-03-28T05:17:00Z</dcterms:modified>
</cp:coreProperties>
</file>