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Жителям блокадного Ленинграда вместе с пенсией и другими социальными пособиями будет автоматически перечислена единовременная выплата.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Обращаться в ПФР за выплатой не требуется!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Подробнее: </w:t>
      </w:r>
      <w:hyperlink r:id="rId2" w:tgtFrame="_blank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lang w:eastAsia="ru-RU"/>
          </w:rPr>
          <w:t>https://pfr.gov.ru/press_center/~2021/10/27/232744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. 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53340</wp:posOffset>
            </wp:positionH>
            <wp:positionV relativeFrom="paragraph">
              <wp:posOffset>139065</wp:posOffset>
            </wp:positionV>
            <wp:extent cx="3572510" cy="357251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2501265</wp:posOffset>
            </wp:positionH>
            <wp:positionV relativeFrom="paragraph">
              <wp:posOffset>3890010</wp:posOffset>
            </wp:positionV>
            <wp:extent cx="3439795" cy="3439795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795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press_center%2F~2021%2F10%2F27%2F232744&amp;post=-86141808_6923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2021-11-03T15:21:28Z</dcterms:created>
  <dc:language>ru-RU</dc:language>
  <dcterms:modified xsi:type="dcterms:W3CDTF">2021-11-03T15:23:24Z</dcterms:modified>
  <cp:revision>1</cp:revision>
</cp:coreProperties>
</file>