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4"/>
        <w:spacing w:before="0" w:after="0"/>
        <w:ind w:left="0" w:right="0" w:hanging="0"/>
        <w:jc w:val="center"/>
        <w:rPr/>
      </w:pPr>
      <w:bookmarkStart w:id="0" w:name="__DdeLink__651_253436031"/>
      <w:bookmarkEnd w:id="0"/>
      <w:r>
        <w:rPr>
          <w:rStyle w:val="Style11"/>
          <w:rFonts w:ascii="inherit" w:hAnsi="inherit"/>
          <w:b/>
          <w:i w:val="false"/>
          <w:caps w:val="false"/>
          <w:smallCaps w:val="false"/>
          <w:color w:val="000000"/>
          <w:spacing w:val="0"/>
          <w:sz w:val="26"/>
          <w:szCs w:val="26"/>
        </w:rPr>
        <w:t>Электронные сервисы</w:t>
      </w:r>
    </w:p>
    <w:p>
      <w:pPr>
        <w:pStyle w:val="Style14"/>
        <w:spacing w:lineRule="auto" w:line="288" w:before="0" w:after="0"/>
        <w:ind w:left="0" w:right="0" w:firstLine="567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Пенсионный фонд продолжает активную работу по развитию своих электронных сервисов. В 2017 году функции Личного кабинета гражданина на сайте ПФР значительно расширились, в результате чего сегодня он охватывает практически все выплаты по линии ПФР: пенсии, ежемесячную денежную выплату, федеральную социальную доплату к пенсии, набор социальных услуг, материнский капитал и др., а также информирует о всех установленных социальных выплатах.</w:t>
      </w:r>
    </w:p>
    <w:p>
      <w:pPr>
        <w:pStyle w:val="Style14"/>
        <w:spacing w:lineRule="auto" w:line="288" w:before="0" w:after="0"/>
        <w:ind w:left="0" w:right="0" w:firstLine="567"/>
        <w:jc w:val="both"/>
        <w:rPr/>
      </w:pPr>
      <w:hyperlink r:id="rId2">
        <w:r>
          <w:rPr>
            <w:rStyle w:val="Style12"/>
            <w:rFonts w:ascii="inherit" w:hAnsi="inherit"/>
            <w:b w:val="false"/>
            <w:i w:val="false"/>
            <w:caps w:val="false"/>
            <w:smallCaps w:val="false"/>
            <w:color w:val="0B7FA4"/>
            <w:spacing w:val="0"/>
            <w:sz w:val="21"/>
          </w:rPr>
          <w:t>Электронные сервисы ПФР</w:t>
        </w:r>
      </w:hyperlink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 доступны не только на сайте Пенсионного фонда и портале </w:t>
      </w:r>
      <w:hyperlink r:id="rId3">
        <w:r>
          <w:rPr>
            <w:rStyle w:val="Style12"/>
            <w:rFonts w:ascii="inherit" w:hAnsi="inherit"/>
            <w:b w:val="false"/>
            <w:i w:val="false"/>
            <w:caps w:val="false"/>
            <w:smallCaps w:val="false"/>
            <w:color w:val="0B7FA4"/>
            <w:spacing w:val="0"/>
            <w:sz w:val="21"/>
          </w:rPr>
          <w:t>госуслуг</w:t>
        </w:r>
      </w:hyperlink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, но и в </w:t>
      </w:r>
      <w:hyperlink r:id="rId4">
        <w:r>
          <w:rPr>
            <w:rStyle w:val="Style12"/>
            <w:rFonts w:ascii="inherit" w:hAnsi="inherit"/>
            <w:b w:val="false"/>
            <w:i w:val="false"/>
            <w:caps w:val="false"/>
            <w:smallCaps w:val="false"/>
            <w:color w:val="0B7FA4"/>
            <w:spacing w:val="0"/>
            <w:sz w:val="21"/>
          </w:rPr>
          <w:t>мобильном</w:t>
        </w:r>
      </w:hyperlink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 </w:t>
      </w:r>
      <w:hyperlink r:id="rId5">
        <w:r>
          <w:rPr>
            <w:rStyle w:val="Style12"/>
            <w:rFonts w:ascii="inherit" w:hAnsi="inherit"/>
            <w:b w:val="false"/>
            <w:i w:val="false"/>
            <w:caps w:val="false"/>
            <w:smallCaps w:val="false"/>
            <w:color w:val="0B7FA4"/>
            <w:spacing w:val="0"/>
            <w:sz w:val="21"/>
          </w:rPr>
          <w:t>приложении</w:t>
        </w:r>
      </w:hyperlink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 для смартфонов, которое ПФР представил в прошлом году.</w:t>
      </w:r>
    </w:p>
    <w:p>
      <w:pPr>
        <w:pStyle w:val="Style14"/>
        <w:spacing w:lineRule="auto" w:line="288" w:before="0" w:after="0"/>
        <w:ind w:left="0" w:right="0" w:firstLine="567"/>
        <w:jc w:val="both"/>
        <w:rPr/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На сегодняшний день услугами ПФР в электронном виде через Личный кабинет на сайте ПФР и портал госуслуг воспользовались более 30 млн граждан.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inheri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structure/10000002796" TargetMode="External"/><Relationship Id="rId4" Type="http://schemas.openxmlformats.org/officeDocument/2006/relationships/hyperlink" Target="https://itunes.apple.com/ru/app/id1202653519" TargetMode="External"/><Relationship Id="rId5" Type="http://schemas.openxmlformats.org/officeDocument/2006/relationships/hyperlink" Target="https://play.google.com/store/apps/details?id=com.pfrf.mobile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2018-04-06T09:15:50Z</dcterms:created>
  <dc:language>ru-RU</dc:language>
  <cp:lastPrinted>2018-04-06T09:16:15Z</cp:lastPrinted>
  <dcterms:modified xsi:type="dcterms:W3CDTF">2018-04-06T09:16:52Z</dcterms:modified>
  <cp:revision>1</cp:revision>
</cp:coreProperties>
</file>