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tabs/>
        <w:spacing w:before="0" w:after="0"/>
        <w:ind w:left="0" w:right="0" w:hanging="431"/>
        <w:jc w:val="center"/>
        <w:rPr>
          <w:sz w:val="26"/>
          <w:szCs w:val="26"/>
        </w:rPr>
      </w:pPr>
      <w:bookmarkStart w:id="0" w:name="__DdeLink__426_599735728"/>
      <w:bookmarkEnd w:id="0"/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 xml:space="preserve">По итогам 2017 года ПФР приумножил пенсионные накопления </w:t>
      </w:r>
    </w:p>
    <w:p>
      <w:pPr>
        <w:pStyle w:val="1"/>
        <w:numPr>
          <w:ilvl w:val="0"/>
          <w:numId w:val="2"/>
        </w:numPr>
        <w:tabs/>
        <w:spacing w:before="0" w:after="0"/>
        <w:ind w:left="0" w:right="0" w:hanging="431"/>
        <w:jc w:val="center"/>
        <w:rPr>
          <w:sz w:val="26"/>
          <w:szCs w:val="26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россиян на 5,14 млрд рублей</w:t>
      </w:r>
    </w:p>
    <w:p>
      <w:pPr>
        <w:pStyle w:val="1"/>
        <w:numPr>
          <w:ilvl w:val="0"/>
          <w:numId w:val="2"/>
        </w:numPr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По итогам 2017 года ПФР приумножил пенсионные накопления россиян на 5,14 млрд рублей</w:t>
      </w:r>
    </w:p>
    <w:p>
      <w:pPr>
        <w:pStyle w:val="Style12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В 2017 году ПФР продолжил осуществлять временное размещение средств пенсионных накоплений на депозиты в кредитных организациях. Перечень допущенных кредитных организаций ограничен только высоконадежными банками, которые отвечают установленным законодательством требованиям.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Общая сумма дохода, которую ПФР получил от временного размещения средств пенсионных накоплений на депозиты в кредитных организациях, по результатам 2017 года составила 5,14 млрд рублей, что в пересчете составляет 8,8% годовых.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Результат, полученный ПФР от временного размещения, значительно превышает уровень инфляции в России по итогам 2017 года (2,5%) и сопоставим с результатами других участников процесса инвестирования средств пенсионных накоплений.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Для сравнения: доходность расширенного портфеля государственной управляющей компании «Внешэкономбанк» по итогам 2017 года составила 8,6%, частных управляющих компаний – 10,7%. Совокупная рассчитанная доходность по негосударственным пенсионным фондам (НПФ) за 9 месяцев 2017 года составила 3,2% годовых.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Доход в объеме 5,14 млрд рублей сложился из дохода от размещения средств резерва по обязательному пенсионному страхованию (РОПС) – 4,94 млрд. рублей и дохода от размещения текущих средств страховых взносов, а также дополнительных страховых взносов и взносов работодателя – 0,2 млрд рублей.</w:t>
      </w:r>
    </w:p>
    <w:p>
      <w:pPr>
        <w:pStyle w:val="Style12"/>
        <w:widowControl/>
        <w:spacing w:before="0" w:after="0"/>
        <w:ind w:left="0" w:right="0" w:hanging="0"/>
        <w:rPr/>
      </w:pPr>
      <w:r>
        <w:rPr>
          <w:rFonts w:ascii="Arial;Lucida Grande;sans-serif" w:hAnsi="Arial;Lucida Grande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Всего в 2017 году ПФР провел 14 депозитных аукционов (из них 12 на площадке Публичного акционерного общества «Московская Биржа ММВБ-РТС» и 2 на торговой площадке Акционерного общества «Санкт-Петербургская Валютная Биржа»), по результатам которых было заключено 48 депозитных договоров. Оборот по размещенным ПФР средствам составил более 270 млрд рублей. Ставки по размещенным депозитам находились в пределах от 7,5 до 10,15%. Срок размещения варьировался от 13 до 178 дней.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  <w:font w:name="Arial">
    <w:altName w:val="Lucida Grande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2018-03-12T14:09:08Z</dcterms:created>
  <dc:language>ru-RU</dc:language>
  <cp:lastPrinted>2018-03-12T14:10:48Z</cp:lastPrinted>
  <dcterms:modified xsi:type="dcterms:W3CDTF">2018-03-12T14:11:17Z</dcterms:modified>
  <cp:revision>1</cp:revision>
</cp:coreProperties>
</file>