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 w:val="false"/>
          <w:bCs w:val="false"/>
        </w:rPr>
        <w:t xml:space="preserve">Этот доход сложился из дохода от размещения средств резерва по обязательному пенсионному страхованию (РОПС) — 4,94 млрд. рублей и дохода от размещения текущих средств страховых взносов, а также дополнительных страховых взносов и взносов работодателя — 0,2 млрд рублей.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</w:rPr>
        <w:t xml:space="preserve">По итогам 2017 года </w:t>
      </w:r>
      <w:bookmarkStart w:id="0" w:name="__DdeLink__205_1480119854"/>
      <w:bookmarkEnd w:id="0"/>
      <w:r>
        <w:rPr>
          <w:b w:val="false"/>
          <w:bCs w:val="false"/>
        </w:rPr>
        <w:t>ПФР приумножил пенсионные накопления россиян на 5,14 млрд рублей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Style12"/>
        <w:rPr/>
      </w:pPr>
      <w:r>
        <w:rPr>
          <w:b/>
          <w:bCs/>
        </w:rPr>
        <w:t>В 2017 году ПФР продолжил осуществлять временное размещение средств пенсионных накоплений на депозиты в кредитных организациях. Перечень допущенных кредитных организаций ограничен только высоконадежными банками, которые отвечают установленным законодательством требованиям.</w:t>
      </w:r>
    </w:p>
    <w:p>
      <w:pPr>
        <w:pStyle w:val="Style12"/>
        <w:jc w:val="both"/>
        <w:rPr/>
      </w:pPr>
      <w:r>
        <w:rPr/>
        <w:t>Общая сумма дохода, которую ПФР получил от временного размещения средств пенсионных накоплений на депозиты в кредитных организациях, по результатам 2017 года составила 5,14 млрд рублей, что в пересчете составляет 8,8% годовых.</w:t>
      </w:r>
    </w:p>
    <w:p>
      <w:pPr>
        <w:pStyle w:val="Style12"/>
        <w:jc w:val="both"/>
        <w:rPr/>
      </w:pPr>
      <w:r>
        <w:rPr/>
        <w:t>Результат, полученный ПФР от временного размещения, значительно превышает уровень инфляции в России по итогам 2017 года (2,5%) и сопоставим с результатами других участников процесса инвестирования средств пенсионных накоплений.</w:t>
      </w:r>
    </w:p>
    <w:p>
      <w:pPr>
        <w:pStyle w:val="Style12"/>
        <w:jc w:val="both"/>
        <w:rPr/>
      </w:pPr>
      <w:r>
        <w:rPr/>
        <w:t>Для сравнения: доходность расширенного портфеля государственной управляющей компании «Внешэкономбанк» по итогам 2017 года составила 8,6%, частных управляющих компаний – 10,7%. Совокупная рассчитанная доходность по негосударственным пенсионным фондам (НПФ) за 9 месяцев 2017 года составила 3,2% годовых.</w:t>
      </w:r>
    </w:p>
    <w:p>
      <w:pPr>
        <w:pStyle w:val="Style12"/>
        <w:jc w:val="both"/>
        <w:rPr/>
      </w:pPr>
      <w:r>
        <w:rPr/>
        <w:t>Доход в объеме 5,14 млрд рублей сложился из дохода от размещения средств резерва по обязательному пенсионному страхованию (РОПС) – 4,94 млрд. рублей и дохода от размещения текущих средств страховых взносов, а также дополнительных страховых взносов и взносов работодателя – 0,2 млрд рублей.</w:t>
      </w:r>
    </w:p>
    <w:p>
      <w:pPr>
        <w:pStyle w:val="Style12"/>
        <w:jc w:val="both"/>
        <w:rPr/>
      </w:pPr>
      <w:r>
        <w:rPr/>
        <w:t>Всего в 2017 году ПФР провел 14 депозитных аукционов (из них 12 на площадке Публичного акционерного общества «Московская Биржа ММВБ-РТС» и 2 на торговой площадке Акционерного общества «Санкт-Петербургская Валютная Биржа»), по результатам которых было заключено 48 депозитных договоров. Оборот по размещенным ПФР средствам составил более 270 млрд рублей. Ставки по размещенным депозитам находились в пределах от 7,5 до 10,15%. Срок размещения варьировался от 13 до 178 дней.</w:t>
      </w:r>
    </w:p>
    <w:p>
      <w:pPr>
        <w:pStyle w:val="Normal"/>
        <w:rPr>
          <w:b/>
          <w:b/>
          <w:bCs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2018-03-07T15:25:02Z</dcterms:created>
  <dc:language>ru-RU</dc:language>
  <dcterms:modified xsi:type="dcterms:W3CDTF">2018-03-07T15:25:32Z</dcterms:modified>
  <cp:revision>1</cp:revision>
</cp:coreProperties>
</file>