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bookmarkStart w:id="0" w:name="__DdeLink__457_59973572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Записаться на прием в Пенсионный фонд проще всего через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 xml:space="preserve"> интернет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szCs w:val="22"/>
            <w:u w:val="none"/>
            <w:effect w:val="blinkBackground"/>
          </w:rPr>
          <w:t>https://www.pfrf.ru/eservices/znp~register/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. Нужно всего лишь заполнить требуемые поля и выбрать удобные для вас дату и время.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p>
      <w:pPr>
        <w:pStyle w:val="Style13"/>
        <w:spacing w:before="0" w:after="140"/>
        <w:rPr>
          <w:rFonts w:ascii="inherit" w:hAnsi="inherit"/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724535</wp:posOffset>
            </wp:positionH>
            <wp:positionV relativeFrom="paragraph">
              <wp:posOffset>198120</wp:posOffset>
            </wp:positionV>
            <wp:extent cx="4061460" cy="230251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pfrf.ru%2Feservices%2Fznp~register%2F&amp;post=-86141808_1600&amp;cc_key=" TargetMode="External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2018-03-12T14:22:57Z</dcterms:created>
  <dc:language>ru-RU</dc:language>
  <cp:lastPrinted>2018-03-12T14:23:36Z</cp:lastPrinted>
  <dcterms:modified xsi:type="dcterms:W3CDTF">2018-03-12T14:24:21Z</dcterms:modified>
  <cp:revision>1</cp:revision>
</cp:coreProperties>
</file>