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675_1982123865"/>
      <w:r>
        <w:rPr/>
        <w:t xml:space="preserve">Кто имеет право на установление ежемесячной выплаты из средств материнского капитала </w:t>
      </w:r>
      <w:bookmarkEnd w:id="0"/>
      <w:r>
        <w:rPr/>
        <w:br/>
        <w:br/>
        <w:t xml:space="preserve">Право на получение ежемесячной выплаты из средств капитала приобретают граждане Российской Федерации, постоянно проживающие на территории Российской Федерации в том случае, если второй ребенок рожден (усыновлен) после 1 января 2018 г., является гражданином Российской Федерации и если размер среднедушевого дохода семьи не превысит 1,5-кратную величину прожиточного минимума трудоспособного населения, установленную в субъекте Российской Федерации. </w:t>
        <w:br/>
        <w:br/>
        <w:t xml:space="preserve">Право на материнский (семейный) капитал подтверждается государственным сертификатом, таким образом, заявление на ежемесячные выплаты можно подать одновременно с заявлением о выдаче сертификата на материнский (семейный) капитал.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2018-02-07T15:05:19Z</dcterms:created>
  <dc:language>ru-RU</dc:language>
  <dcterms:modified xsi:type="dcterms:W3CDTF">2018-02-07T15:05:58Z</dcterms:modified>
  <cp:revision>1</cp:revision>
</cp:coreProperties>
</file>