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56_1982123865"/>
      <w:r>
        <w:rPr/>
        <w:t>Каким образом назначается и выплачивается ежемесячная выплата из средств материнского капитала для семей с низким доходом</w:t>
      </w:r>
      <w:bookmarkEnd w:id="0"/>
      <w:r>
        <w:rPr/>
        <w:t>?</w:t>
        <w:br/>
        <w:t xml:space="preserve">Подробности в нашем лифлете, сохраняйте на память.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104140</wp:posOffset>
            </wp:positionH>
            <wp:positionV relativeFrom="paragraph">
              <wp:posOffset>26670</wp:posOffset>
            </wp:positionV>
            <wp:extent cx="4407535" cy="311975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535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257810</wp:posOffset>
            </wp:positionH>
            <wp:positionV relativeFrom="paragraph">
              <wp:posOffset>240030</wp:posOffset>
            </wp:positionV>
            <wp:extent cx="5109845" cy="3607435"/>
            <wp:effectExtent l="0" t="0" r="0" b="0"/>
            <wp:wrapSquare wrapText="largest"/>
            <wp:docPr id="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845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2018-02-07T14:39:04Z</dcterms:created>
  <dc:language>ru-RU</dc:language>
  <dcterms:modified xsi:type="dcterms:W3CDTF">2018-02-07T14:40:08Z</dcterms:modified>
  <cp:revision>1</cp:revision>
</cp:coreProperties>
</file>