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0_551892365"/>
      <w:bookmarkEnd w:id="0"/>
      <w:r>
        <w:rPr/>
        <w:t>Право на единовременную выплату из средств материнского капитала определяется доходами семьи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25520" cy="505142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20" cy="505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2018-02-07T16:23:33Z</dcterms:created>
  <dc:language>ru-RU</dc:language>
  <cp:lastPrinted>2018-02-07T16:23:55Z</cp:lastPrinted>
  <dcterms:modified xsi:type="dcterms:W3CDTF">2018-02-07T16:24:15Z</dcterms:modified>
  <cp:revision>1</cp:revision>
</cp:coreProperties>
</file>