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apple-system;BlinkMacSystemFont;Roboto;Open Sans;Helvetica Neue;sans-serif" w:hAnsi="apple-system;BlinkMacSystemFont;Roboto;Open Sans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/>
      </w:r>
    </w:p>
    <w:p>
      <w:pPr>
        <w:pStyle w:val="Normal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Закон устанавливает право на получение мер государственной поддержки в виде материнского капитала отцу (усыновителю) ребенка, а также ребенку (детям) до окончания обучения по очной форме в образовательной организации (но не дольше чем до достижения возраста 23 лет) в случае смерти либо объявления умершей женщины после рождения</w:t>
      </w:r>
      <w:bookmarkStart w:id="0" w:name="__DdeLink__1179_256731364"/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 (усыновления) ею второго, третьего или последующих детей в период с 1 января 2007 года по 18 марта 2014 года, в этот период не являвшейся гражданкой России и проживавшей на территории Республики Крым или города федерального значения Севастополя.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2018-01-09T12:14:47Z</dcterms:created>
  <dc:language>ru-RU</dc:language>
  <cp:lastPrinted>2018-01-09T12:16:39Z</cp:lastPrinted>
  <dcterms:modified xsi:type="dcterms:W3CDTF">2018-01-09T12:17:19Z</dcterms:modified>
  <cp:revision>2</cp:revision>
</cp:coreProperties>
</file>