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/>
        <w:ind w:right="595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Электронные сервисы Пенсионного фонда</w:t>
      </w:r>
    </w:p>
    <w:p>
      <w:pPr>
        <w:pStyle w:val="Normal"/>
        <w:shd w:val="clear" w:color="auto" w:fill="FFFFFF"/>
        <w:spacing w:lineRule="auto" w:line="360"/>
        <w:ind w:left="10" w:right="62" w:firstLine="416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Клиентская служба УПФР в Краснослободском муниципальном районе РМ (</w:t>
      </w:r>
      <w:r>
        <w:rPr>
          <w:rFonts w:eastAsia="Times New Roman" w:cs="Times New Roman" w:ascii="Times New Roman" w:hAnsi="Times New Roman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sz w:val="24"/>
          <w:szCs w:val="24"/>
        </w:rPr>
        <w:t>ежрайонное) всегда готова принять всех желающих, но Пенсионный фонд сделал так, что сегодня большинство его услуг можно получить через интернет - не выходя из дома. Цель - сделать так, чтобы людям вообще не надо было приходить в клиентские службы для подачи заявления на госуслугу ПФР.</w:t>
      </w:r>
    </w:p>
    <w:p>
      <w:pPr>
        <w:pStyle w:val="Normal"/>
        <w:shd w:val="clear" w:color="auto" w:fill="FFFFFF"/>
        <w:spacing w:lineRule="auto" w:line="360"/>
        <w:ind w:left="10" w:right="67" w:firstLine="416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Все услуги и сервисы, которые Пенсионный фонд сегодня предоставляет в электронном виде, объединены в один портал на сайте Пенсионного фонда - </w:t>
      </w:r>
      <w:hyperlink r:id="rId2">
        <w:r>
          <w:rPr>
            <w:rStyle w:val="Style12"/>
            <w:rFonts w:eastAsia="Times New Roman" w:cs="Times New Roman" w:ascii="Times New Roman" w:hAnsi="Times New Roman"/>
            <w:sz w:val="24"/>
            <w:szCs w:val="24"/>
            <w:u w:val="single"/>
            <w:lang w:val="en-US"/>
          </w:rPr>
          <w:t>es</w:t>
        </w:r>
        <w:r>
          <w:rPr>
            <w:rStyle w:val="Style12"/>
            <w:rFonts w:eastAsia="Times New Roman" w:cs="Times New Roman" w:ascii="Times New Roman" w:hAnsi="Times New Roman"/>
            <w:sz w:val="24"/>
            <w:szCs w:val="24"/>
            <w:u w:val="single"/>
          </w:rPr>
          <w:t>.</w:t>
        </w:r>
        <w:r>
          <w:rPr>
            <w:rStyle w:val="Style12"/>
            <w:rFonts w:eastAsia="Times New Roman" w:cs="Times New Roman" w:ascii="Times New Roman" w:hAnsi="Times New Roman"/>
            <w:sz w:val="24"/>
            <w:szCs w:val="24"/>
            <w:u w:val="single"/>
            <w:lang w:val="en-US"/>
          </w:rPr>
          <w:t>pfrf</w:t>
        </w:r>
        <w:r>
          <w:rPr>
            <w:rStyle w:val="Style12"/>
            <w:rFonts w:eastAsia="Times New Roman" w:cs="Times New Roman" w:ascii="Times New Roman" w:hAnsi="Times New Roman"/>
            <w:sz w:val="24"/>
            <w:szCs w:val="24"/>
            <w:u w:val="single"/>
          </w:rPr>
          <w:t>.</w:t>
        </w:r>
        <w:r>
          <w:rPr>
            <w:rStyle w:val="Style12"/>
            <w:rFonts w:eastAsia="Times New Roman" w:cs="Times New Roman" w:ascii="Times New Roman" w:hAnsi="Times New Roman"/>
            <w:sz w:val="24"/>
            <w:szCs w:val="24"/>
            <w:u w:val="single"/>
            <w:lang w:val="en-US"/>
          </w:rPr>
          <w:t>ru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 xml:space="preserve">. Чтобы получить услуги ПФР в электронном виде, нужно быть зарегистрированным на едином портале государственных услуг </w:t>
      </w:r>
      <w:hyperlink r:id="rId3">
        <w:r>
          <w:rPr>
            <w:rStyle w:val="Style12"/>
            <w:rFonts w:eastAsia="Times New Roman" w:cs="Times New Roman" w:ascii="Times New Roman" w:hAnsi="Times New Roman"/>
            <w:sz w:val="24"/>
            <w:szCs w:val="24"/>
            <w:u w:val="single"/>
            <w:lang w:val="en-US"/>
          </w:rPr>
          <w:t>gosuslugi</w:t>
        </w:r>
        <w:r>
          <w:rPr>
            <w:rStyle w:val="Style12"/>
            <w:rFonts w:eastAsia="Times New Roman" w:cs="Times New Roman" w:ascii="Times New Roman" w:hAnsi="Times New Roman"/>
            <w:sz w:val="24"/>
            <w:szCs w:val="24"/>
            <w:u w:val="single"/>
          </w:rPr>
          <w:t>.</w:t>
        </w:r>
        <w:r>
          <w:rPr>
            <w:rStyle w:val="Style12"/>
            <w:rFonts w:eastAsia="Times New Roman" w:cs="Times New Roman" w:ascii="Times New Roman" w:hAnsi="Times New Roman"/>
            <w:sz w:val="24"/>
            <w:szCs w:val="24"/>
            <w:u w:val="single"/>
            <w:lang w:val="en-US"/>
          </w:rPr>
          <w:t>ru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>. Дополнительной регистрации на сайте ПФР не требуется.</w:t>
      </w:r>
    </w:p>
    <w:p>
      <w:pPr>
        <w:pStyle w:val="Normal"/>
        <w:shd w:val="clear" w:color="auto" w:fill="FFFFFF"/>
        <w:tabs>
          <w:tab w:val="left" w:pos="2693" w:leader="none"/>
          <w:tab w:val="left" w:pos="3206" w:leader="underscore"/>
        </w:tabs>
        <w:spacing w:lineRule="auto" w:line="360"/>
        <w:ind w:firstLine="41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2018году Пенсионный фонд продолжит расширять услуги в электронной форме, поэтому перед походом в ПФР все же зайдите на сайт Фонда - с большой долей вероятности вы сможете решить свой вопрос не выходя из дома.</w:t>
      </w:r>
    </w:p>
    <w:p>
      <w:pPr>
        <w:pStyle w:val="Normal"/>
        <w:shd w:val="clear" w:color="auto" w:fill="FFFFFF"/>
        <w:tabs>
          <w:tab w:val="left" w:pos="2693" w:leader="none"/>
          <w:tab w:val="left" w:pos="3206" w:leader="underscore"/>
        </w:tabs>
        <w:spacing w:lineRule="auto" w:line="360"/>
        <w:ind w:firstLine="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Если гражданин еще не зарегистрирован на едином портале госуслуг, то с регистрацией ему также помогут в клиентской службе ПФР</w:t>
      </w:r>
    </w:p>
    <w:p>
      <w:pPr>
        <w:pStyle w:val="Normal"/>
        <w:shd w:val="clear" w:color="auto" w:fill="FFFFFF"/>
        <w:spacing w:lineRule="auto" w:line="360"/>
        <w:ind w:left="10" w:firstLine="416"/>
        <w:rPr/>
      </w:pPr>
      <w:r>
        <w:rPr/>
      </w:r>
    </w:p>
    <w:sectPr>
      <w:type w:val="nextPage"/>
      <w:pgSz w:w="11906" w:h="16838"/>
      <w:pgMar w:left="1134" w:right="730" w:header="0" w:top="1440" w:footer="0" w:bottom="720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Arial" w:hAnsi="Arial" w:cs="Arial" w:eastAsia="" w:eastAsiaTheme="minorEastAsia"/>
      <w:color w:val="auto"/>
      <w:sz w:val="20"/>
      <w:szCs w:val="20"/>
      <w:lang w:val="ru-RU" w:eastAsia="ru-RU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712425"/>
    <w:rPr>
      <w:rFonts w:ascii="Tahoma" w:hAnsi="Tahoma" w:cs="Tahoma"/>
      <w:sz w:val="16"/>
      <w:szCs w:val="16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712425"/>
    <w:pPr/>
    <w:rPr>
      <w:rFonts w:ascii="Tahoma" w:hAnsi="Tahoma" w:cs="Tahoma"/>
      <w:sz w:val="16"/>
      <w:szCs w:val="16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es.pfrf.ru/" TargetMode="External"/><Relationship Id="rId3" Type="http://schemas.openxmlformats.org/officeDocument/2006/relationships/hyperlink" Target="http://gosuslugi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2018-01-15T13:41:00Z</dcterms:created>
  <dc:creator>1</dc:creator>
  <dc:language>ru-RU</dc:language>
  <cp:lastPrinted>2018-01-16T11:18:41Z</cp:lastPrinted>
  <dcterms:modified xsi:type="dcterms:W3CDTF">2018-01-16T11:19:08Z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