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О преимуществах личного кабинета и электронных услуг ПФР в одной картинке. </w:t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</w:r>
    </w:p>
    <w:p>
      <w:pPr>
        <w:pStyle w:val="Normal"/>
        <w:rPr>
          <w:rFonts w:ascii="apple-system;BlinkMacSystemFont;Roboto;Open Sans;Helvetica Neue;sans-serif" w:hAnsi="apple-system;BlinkMacSystemFont;Roboto;Open Sans;Helvetica Neue;sans-serif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0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19544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195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2017-12-04T14:40:52Z</dcterms:created>
  <dc:language>ru-RU</dc:language>
  <cp:lastPrinted>2017-12-04T14:41:11Z</cp:lastPrinted>
  <dcterms:modified xsi:type="dcterms:W3CDTF">2017-12-04T14:41:58Z</dcterms:modified>
  <cp:revision>1</cp:revision>
</cp:coreProperties>
</file>