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widowControl/>
        <w:spacing w:lineRule="auto" w:line="288" w:before="0" w:after="0"/>
        <w:ind w:left="0" w:right="0" w:firstLine="567"/>
        <w:jc w:val="both"/>
        <w:rPr>
          <w:sz w:val="24"/>
          <w:szCs w:val="24"/>
        </w:rPr>
      </w:pPr>
      <w:r>
        <w:rPr>
          <w:rFonts w:ascii="apple-system;BlinkMacSystemFont" w:hAnsi="apple-system;BlinkMacSystemFont"/>
          <w:color w:val="000000"/>
          <w:sz w:val="24"/>
          <w:szCs w:val="24"/>
        </w:rPr>
        <w:t>Бывшие сотрудники военных и силовых ведомств продолжают трудовую деятельность на «гражданской» службе. В этом случае работодатели уплачивают за них страховые взносы на формирование будущей пенсии. При соблюдении определенных условий у военных пенсионеров возникает право на получение пенсии по линии ПФР.</w:t>
      </w:r>
      <w:r>
        <w:rPr>
          <w:sz w:val="24"/>
          <w:szCs w:val="24"/>
        </w:rPr>
        <w:t xml:space="preserve"> </w:t>
      </w:r>
    </w:p>
    <w:p>
      <w:pPr>
        <w:pStyle w:val="Style12"/>
        <w:widowControl/>
        <w:spacing w:before="0" w:after="0"/>
        <w:rPr/>
      </w:pPr>
      <w:r>
        <w:rPr/>
      </w:r>
    </w:p>
    <w:p>
      <w:pPr>
        <w:pStyle w:val="Style12"/>
        <w:widowControl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214630</wp:posOffset>
            </wp:positionH>
            <wp:positionV relativeFrom="paragraph">
              <wp:posOffset>71120</wp:posOffset>
            </wp:positionV>
            <wp:extent cx="5146040" cy="38595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2017-11-13T09:35:04Z</dcterms:created>
  <dc:language>ru-RU</dc:language>
  <dcterms:modified xsi:type="dcterms:W3CDTF">2017-11-13T09:48:36Z</dcterms:modified>
  <cp:revision>1</cp:revision>
</cp:coreProperties>
</file>