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Услуги Личного кабинета доступны нашим соотечественникам, проживающим за рубежом. Вот вам наглядная шпаргалка.</w:t>
      </w:r>
    </w:p>
    <w:p>
      <w:pPr>
        <w:pStyle w:val="Normal"/>
        <w:widowControl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widowControl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106045</wp:posOffset>
            </wp:positionH>
            <wp:positionV relativeFrom="paragraph">
              <wp:posOffset>80010</wp:posOffset>
            </wp:positionV>
            <wp:extent cx="5481320" cy="4110355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411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2017-09-22T11:01:09Z</dcterms:created>
  <dc:language>ru-RU</dc:language>
  <dcterms:modified xsi:type="dcterms:W3CDTF">2017-09-22T11:02:08Z</dcterms:modified>
  <cp:revision>1</cp:revision>
</cp:coreProperties>
</file>