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Второе направление для использования средств материнского капитала - на обучение детей. Рассказываем подробно.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271135" cy="3610610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3610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2017-09-22T10:51:58Z</dcterms:created>
  <dc:language>ru-RU</dc:language>
  <cp:lastPrinted>2017-09-22T10:52:23Z</cp:lastPrinted>
  <dcterms:modified xsi:type="dcterms:W3CDTF">2017-09-22T10:54:31Z</dcterms:modified>
  <cp:revision>1</cp:revision>
</cp:coreProperties>
</file>